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b/>
          <w:sz w:val="28"/>
          <w:szCs w:val="28"/>
        </w:rPr>
      </w:pPr>
      <w:bookmarkStart w:id="119" w:name="_GoBack"/>
      <w:bookmarkEnd w:id="119"/>
      <w:bookmarkStart w:id="0" w:name="_Toc381647758"/>
    </w:p>
    <w:p>
      <w:pPr>
        <w:spacing w:line="480" w:lineRule="exact"/>
        <w:rPr>
          <w:rFonts w:hint="eastAsia" w:ascii="宋体" w:hAnsi="宋体"/>
          <w:b/>
          <w:sz w:val="28"/>
          <w:szCs w:val="28"/>
        </w:rPr>
      </w:pPr>
    </w:p>
    <w:p>
      <w:pPr>
        <w:spacing w:line="480" w:lineRule="exact"/>
        <w:rPr>
          <w:rFonts w:hint="eastAsia" w:ascii="宋体" w:hAnsi="宋体"/>
          <w:b/>
          <w:sz w:val="28"/>
          <w:szCs w:val="28"/>
        </w:rPr>
      </w:pPr>
    </w:p>
    <w:p>
      <w:pPr>
        <w:spacing w:line="480" w:lineRule="exact"/>
        <w:rPr>
          <w:rFonts w:ascii="宋体" w:hAnsi="宋体"/>
          <w:b/>
          <w:sz w:val="28"/>
          <w:szCs w:val="28"/>
        </w:rPr>
      </w:pPr>
    </w:p>
    <w:p>
      <w:pPr>
        <w:spacing w:line="480" w:lineRule="exact"/>
        <w:rPr>
          <w:rFonts w:ascii="宋体" w:hAnsi="宋体"/>
          <w:b/>
          <w:sz w:val="28"/>
          <w:szCs w:val="28"/>
        </w:rPr>
      </w:pPr>
    </w:p>
    <w:p>
      <w:pPr>
        <w:spacing w:line="480" w:lineRule="exact"/>
        <w:rPr>
          <w:rFonts w:ascii="宋体" w:hAnsi="宋体"/>
          <w:b/>
          <w:sz w:val="28"/>
          <w:szCs w:val="28"/>
        </w:rPr>
      </w:pPr>
    </w:p>
    <w:p>
      <w:pPr>
        <w:pStyle w:val="43"/>
        <w:spacing w:beforeLines="0" w:afterLines="0" w:line="480" w:lineRule="exact"/>
        <w:outlineLvl w:val="9"/>
        <w:rPr>
          <w:rFonts w:ascii="黑体" w:hAnsi="黑体" w:eastAsia="黑体"/>
          <w:w w:val="95"/>
          <w:sz w:val="48"/>
        </w:rPr>
      </w:pPr>
      <w:bookmarkStart w:id="1" w:name="_Toc398538330"/>
      <w:bookmarkStart w:id="2" w:name="_Toc21238"/>
      <w:bookmarkStart w:id="3" w:name="_Toc57400455"/>
      <w:r>
        <w:rPr>
          <w:rFonts w:hint="eastAsia" w:ascii="黑体" w:hAnsi="黑体" w:eastAsia="黑体"/>
          <w:w w:val="95"/>
          <w:sz w:val="48"/>
        </w:rPr>
        <w:t>无锡市住宅品质提升设计</w:t>
      </w:r>
      <w:bookmarkEnd w:id="1"/>
      <w:r>
        <w:rPr>
          <w:rFonts w:hint="eastAsia" w:ascii="黑体" w:hAnsi="黑体" w:eastAsia="黑体"/>
          <w:w w:val="95"/>
          <w:sz w:val="48"/>
        </w:rPr>
        <w:t>指引</w:t>
      </w:r>
      <w:bookmarkEnd w:id="2"/>
      <w:bookmarkEnd w:id="3"/>
    </w:p>
    <w:p>
      <w:pPr>
        <w:spacing w:line="480" w:lineRule="exact"/>
        <w:rPr>
          <w:rFonts w:ascii="宋体" w:hAnsi="宋体"/>
          <w:b/>
          <w:w w:val="90"/>
          <w:sz w:val="32"/>
          <w:szCs w:val="32"/>
        </w:rPr>
      </w:pPr>
    </w:p>
    <w:p>
      <w:pPr>
        <w:pStyle w:val="43"/>
        <w:spacing w:beforeLines="0" w:afterLines="0" w:line="480" w:lineRule="exact"/>
        <w:outlineLvl w:val="9"/>
        <w:rPr>
          <w:rFonts w:ascii="黑体" w:hAnsi="黑体" w:eastAsia="黑体"/>
          <w:w w:val="95"/>
          <w:sz w:val="48"/>
        </w:rPr>
      </w:pPr>
      <w:r>
        <w:rPr>
          <w:rFonts w:hint="eastAsia" w:ascii="黑体" w:hAnsi="黑体" w:eastAsia="黑体"/>
          <w:w w:val="95"/>
          <w:sz w:val="48"/>
        </w:rPr>
        <w:t>（试行）</w:t>
      </w:r>
    </w:p>
    <w:p>
      <w:pPr>
        <w:spacing w:line="480" w:lineRule="exact"/>
        <w:rPr>
          <w:rFonts w:ascii="宋体" w:hAnsi="宋体"/>
          <w:sz w:val="28"/>
          <w:szCs w:val="28"/>
        </w:rPr>
      </w:pPr>
    </w:p>
    <w:p>
      <w:pPr>
        <w:spacing w:line="480" w:lineRule="exact"/>
        <w:rPr>
          <w:rFonts w:ascii="宋体" w:hAnsi="宋体"/>
          <w:sz w:val="28"/>
          <w:szCs w:val="28"/>
        </w:rPr>
      </w:pPr>
    </w:p>
    <w:p>
      <w:pPr>
        <w:spacing w:line="480" w:lineRule="exact"/>
        <w:rPr>
          <w:rFonts w:ascii="宋体" w:hAnsi="宋体"/>
          <w:sz w:val="28"/>
          <w:szCs w:val="28"/>
        </w:rPr>
      </w:pPr>
    </w:p>
    <w:p>
      <w:pPr>
        <w:spacing w:line="480" w:lineRule="exact"/>
        <w:rPr>
          <w:rFonts w:ascii="宋体" w:hAnsi="宋体"/>
          <w:sz w:val="28"/>
          <w:szCs w:val="28"/>
        </w:rPr>
      </w:pPr>
    </w:p>
    <w:p>
      <w:pPr>
        <w:spacing w:line="480" w:lineRule="exact"/>
        <w:jc w:val="center"/>
        <w:rPr>
          <w:rFonts w:ascii="宋体" w:hAnsi="宋体"/>
          <w:b/>
          <w:sz w:val="32"/>
          <w:szCs w:val="32"/>
        </w:rPr>
      </w:pPr>
    </w:p>
    <w:p>
      <w:pPr>
        <w:spacing w:line="480" w:lineRule="exact"/>
        <w:jc w:val="center"/>
        <w:rPr>
          <w:rFonts w:ascii="宋体" w:hAnsi="宋体"/>
          <w:b/>
          <w:sz w:val="32"/>
          <w:szCs w:val="32"/>
        </w:rPr>
      </w:pPr>
    </w:p>
    <w:p>
      <w:pPr>
        <w:spacing w:line="480" w:lineRule="exact"/>
        <w:rPr>
          <w:rFonts w:ascii="宋体" w:hAnsi="宋体"/>
          <w:sz w:val="28"/>
          <w:szCs w:val="28"/>
        </w:rPr>
      </w:pPr>
    </w:p>
    <w:p>
      <w:pPr>
        <w:spacing w:line="480" w:lineRule="exact"/>
        <w:rPr>
          <w:rFonts w:ascii="宋体" w:hAnsi="宋体"/>
          <w:sz w:val="28"/>
          <w:szCs w:val="28"/>
        </w:rPr>
      </w:pPr>
    </w:p>
    <w:p>
      <w:pPr>
        <w:spacing w:line="480" w:lineRule="exact"/>
        <w:rPr>
          <w:rFonts w:ascii="宋体" w:hAnsi="宋体"/>
          <w:sz w:val="28"/>
          <w:szCs w:val="28"/>
        </w:rPr>
      </w:pPr>
    </w:p>
    <w:p>
      <w:pPr>
        <w:spacing w:line="480" w:lineRule="exact"/>
        <w:rPr>
          <w:rFonts w:ascii="宋体" w:hAnsi="宋体"/>
          <w:sz w:val="28"/>
          <w:szCs w:val="28"/>
        </w:rPr>
      </w:pPr>
    </w:p>
    <w:p>
      <w:pPr>
        <w:spacing w:line="480" w:lineRule="exact"/>
        <w:rPr>
          <w:rFonts w:ascii="宋体" w:hAnsi="宋体"/>
          <w:sz w:val="28"/>
          <w:szCs w:val="28"/>
        </w:rPr>
      </w:pPr>
    </w:p>
    <w:p>
      <w:pPr>
        <w:spacing w:line="480" w:lineRule="exact"/>
        <w:rPr>
          <w:rFonts w:ascii="宋体" w:hAnsi="宋体"/>
          <w:sz w:val="28"/>
          <w:szCs w:val="28"/>
        </w:rPr>
      </w:pPr>
    </w:p>
    <w:p>
      <w:pPr>
        <w:spacing w:line="480" w:lineRule="exact"/>
        <w:rPr>
          <w:rFonts w:ascii="宋体" w:hAnsi="宋体"/>
          <w:sz w:val="28"/>
          <w:szCs w:val="28"/>
        </w:rPr>
      </w:pPr>
    </w:p>
    <w:p>
      <w:pPr>
        <w:spacing w:line="480" w:lineRule="exact"/>
        <w:rPr>
          <w:rFonts w:ascii="宋体" w:hAnsi="宋体"/>
          <w:sz w:val="28"/>
          <w:szCs w:val="28"/>
        </w:rPr>
      </w:pPr>
    </w:p>
    <w:p>
      <w:pPr>
        <w:spacing w:line="480" w:lineRule="exact"/>
        <w:jc w:val="center"/>
        <w:rPr>
          <w:rFonts w:hint="eastAsia" w:ascii="黑体" w:hAnsi="黑体" w:eastAsia="黑体"/>
          <w:b/>
          <w:sz w:val="32"/>
          <w:szCs w:val="32"/>
        </w:rPr>
      </w:pPr>
      <w:r>
        <w:rPr>
          <w:rFonts w:hint="eastAsia" w:ascii="黑体" w:hAnsi="黑体" w:eastAsia="黑体"/>
          <w:b/>
          <w:sz w:val="32"/>
          <w:szCs w:val="32"/>
        </w:rPr>
        <w:t>无锡市住房和城乡建设局</w:t>
      </w:r>
    </w:p>
    <w:p>
      <w:pPr>
        <w:spacing w:line="480" w:lineRule="exact"/>
        <w:jc w:val="center"/>
        <w:rPr>
          <w:rFonts w:hint="eastAsia" w:ascii="黑体" w:hAnsi="黑体" w:eastAsia="黑体"/>
          <w:b/>
          <w:sz w:val="32"/>
          <w:szCs w:val="32"/>
        </w:rPr>
      </w:pPr>
      <w:r>
        <w:rPr>
          <w:rFonts w:hint="eastAsia" w:ascii="黑体" w:hAnsi="黑体" w:eastAsia="黑体"/>
          <w:b/>
          <w:sz w:val="32"/>
          <w:szCs w:val="32"/>
        </w:rPr>
        <w:t>2021年3月</w:t>
      </w:r>
    </w:p>
    <w:p>
      <w:pPr>
        <w:spacing w:line="480" w:lineRule="exact"/>
        <w:jc w:val="center"/>
        <w:rPr>
          <w:rFonts w:hint="eastAsia" w:ascii="黑体" w:hAnsi="黑体" w:eastAsia="黑体"/>
          <w:b/>
          <w:sz w:val="32"/>
          <w:szCs w:val="32"/>
        </w:rPr>
      </w:pPr>
    </w:p>
    <w:p>
      <w:pPr>
        <w:spacing w:line="480" w:lineRule="exact"/>
        <w:jc w:val="center"/>
        <w:rPr>
          <w:rFonts w:hint="eastAsia" w:ascii="黑体" w:hAnsi="黑体" w:eastAsia="黑体"/>
          <w:b/>
          <w:sz w:val="32"/>
          <w:szCs w:val="32"/>
        </w:rPr>
      </w:pPr>
    </w:p>
    <w:p>
      <w:pPr>
        <w:spacing w:line="480" w:lineRule="exact"/>
        <w:jc w:val="center"/>
        <w:rPr>
          <w:rFonts w:hint="eastAsia" w:ascii="黑体" w:hAnsi="黑体" w:eastAsia="黑体"/>
          <w:b/>
          <w:sz w:val="32"/>
          <w:szCs w:val="32"/>
        </w:rPr>
      </w:pPr>
    </w:p>
    <w:p>
      <w:pPr>
        <w:spacing w:line="480" w:lineRule="exact"/>
        <w:jc w:val="center"/>
        <w:rPr>
          <w:rFonts w:ascii="宋体" w:hAnsi="宋体"/>
          <w:b/>
          <w:sz w:val="32"/>
          <w:szCs w:val="32"/>
        </w:rPr>
      </w:pPr>
    </w:p>
    <w:p>
      <w:pPr>
        <w:spacing w:line="480" w:lineRule="exact"/>
        <w:rPr>
          <w:rFonts w:ascii="宋体" w:hAnsi="宋体"/>
          <w:b/>
          <w:color w:val="00B0F0"/>
          <w:sz w:val="32"/>
          <w:szCs w:val="32"/>
        </w:rPr>
      </w:pPr>
    </w:p>
    <w:p>
      <w:pPr>
        <w:spacing w:line="480" w:lineRule="exact"/>
        <w:jc w:val="center"/>
        <w:rPr>
          <w:rFonts w:ascii="黑体" w:hAnsi="黑体" w:eastAsia="黑体"/>
          <w:color w:val="000000"/>
          <w:sz w:val="32"/>
          <w:szCs w:val="44"/>
        </w:rPr>
      </w:pPr>
      <w:r>
        <w:rPr>
          <w:rFonts w:hint="eastAsia" w:ascii="黑体" w:hAnsi="黑体" w:eastAsia="黑体"/>
          <w:color w:val="000000"/>
          <w:sz w:val="32"/>
          <w:szCs w:val="44"/>
        </w:rPr>
        <w:t xml:space="preserve">前 </w:t>
      </w:r>
      <w:r>
        <w:rPr>
          <w:rFonts w:ascii="黑体" w:hAnsi="黑体" w:eastAsia="黑体"/>
          <w:color w:val="000000"/>
          <w:sz w:val="32"/>
          <w:szCs w:val="44"/>
        </w:rPr>
        <w:t xml:space="preserve"> </w:t>
      </w:r>
      <w:r>
        <w:rPr>
          <w:rFonts w:hint="eastAsia" w:ascii="黑体" w:hAnsi="黑体" w:eastAsia="黑体"/>
          <w:color w:val="000000"/>
          <w:sz w:val="32"/>
          <w:szCs w:val="44"/>
        </w:rPr>
        <w:t>言</w:t>
      </w:r>
    </w:p>
    <w:p>
      <w:pPr>
        <w:pStyle w:val="43"/>
        <w:spacing w:beforeLines="0" w:afterLines="0" w:line="480" w:lineRule="exact"/>
        <w:outlineLvl w:val="9"/>
        <w:rPr>
          <w:b w:val="0"/>
          <w:bCs w:val="0"/>
        </w:rPr>
      </w:pPr>
    </w:p>
    <w:p>
      <w:pPr>
        <w:spacing w:line="480" w:lineRule="exact"/>
        <w:ind w:firstLine="566" w:firstLineChars="236"/>
        <w:rPr>
          <w:rFonts w:asciiTheme="minorEastAsia" w:hAnsiTheme="minorEastAsia" w:eastAsiaTheme="minorEastAsia"/>
          <w:b/>
          <w:bCs/>
        </w:rPr>
      </w:pPr>
      <w:r>
        <w:rPr>
          <w:rFonts w:hint="eastAsia" w:asciiTheme="minorEastAsia" w:hAnsiTheme="minorEastAsia" w:eastAsiaTheme="minorEastAsia"/>
        </w:rPr>
        <w:t>为贯彻落实无锡市委、市政府关于提升我市住宅品质的要求，体现以人为本、可持续发展和安全耐久、健康舒适、生活便利、绿色设计、环境宜居的人性化住宅设计理念，推动促进我市住宅建设的高品质、高质量发展，无锡市住房和城乡建设局组织行业专家，深入调查研究，认真总结经验做法，在广泛征求意见的基础上，制订本指引。</w:t>
      </w:r>
    </w:p>
    <w:p>
      <w:pPr>
        <w:spacing w:line="480" w:lineRule="exact"/>
        <w:ind w:firstLine="566" w:firstLineChars="236"/>
        <w:rPr>
          <w:rFonts w:asciiTheme="minorEastAsia" w:hAnsiTheme="minorEastAsia" w:eastAsiaTheme="minorEastAsia"/>
          <w:b/>
          <w:bCs/>
        </w:rPr>
      </w:pPr>
      <w:r>
        <w:rPr>
          <w:rFonts w:hint="eastAsia" w:asciiTheme="minorEastAsia" w:hAnsiTheme="minorEastAsia" w:eastAsiaTheme="minorEastAsia"/>
        </w:rPr>
        <w:t>本指引的主要内容包括：1、总则；2、建筑专业；3、结构专业；4、给排水专业；5、电气专业；6、暖通专业。</w:t>
      </w:r>
    </w:p>
    <w:p>
      <w:pPr>
        <w:spacing w:line="480" w:lineRule="exact"/>
        <w:ind w:firstLine="566" w:firstLineChars="236"/>
        <w:rPr>
          <w:rFonts w:hint="eastAsia" w:asciiTheme="minorEastAsia" w:hAnsiTheme="minorEastAsia" w:eastAsiaTheme="minorEastAsia"/>
        </w:rPr>
      </w:pPr>
      <w:r>
        <w:rPr>
          <w:rFonts w:hint="eastAsia" w:asciiTheme="minorEastAsia" w:hAnsiTheme="minorEastAsia" w:eastAsiaTheme="minorEastAsia"/>
        </w:rPr>
        <w:t>本指引由无锡市住房和城乡建设局负责管理，由无锡市建设工程设计审查中心负责编写和解释。各地在执行过程中如有意见或建议，请反馈至无锡市住房和城乡建设局建筑节能与设计处（地址：无锡市新金匮路1号市民中心，电子邮箱：</w:t>
      </w:r>
      <w:r>
        <w:fldChar w:fldCharType="begin"/>
      </w:r>
      <w:r>
        <w:instrText xml:space="preserve"> HYPERLINK "mailto:wxjsjzsb@126.com" </w:instrText>
      </w:r>
      <w:r>
        <w:fldChar w:fldCharType="separate"/>
      </w:r>
      <w:r>
        <w:rPr>
          <w:rStyle w:val="36"/>
          <w:rFonts w:hint="eastAsia" w:asciiTheme="minorEastAsia" w:hAnsiTheme="minorEastAsia" w:eastAsiaTheme="minorEastAsia"/>
          <w:color w:val="auto"/>
        </w:rPr>
        <w:t>wxjsjzsb@126.com</w:t>
      </w:r>
      <w:r>
        <w:rPr>
          <w:rStyle w:val="36"/>
          <w:rFonts w:hint="eastAsia" w:asciiTheme="minorEastAsia" w:hAnsiTheme="minorEastAsia" w:eastAsiaTheme="minorEastAsia"/>
          <w:color w:val="auto"/>
        </w:rPr>
        <w:fldChar w:fldCharType="end"/>
      </w:r>
      <w:r>
        <w:rPr>
          <w:rFonts w:hint="eastAsia" w:asciiTheme="minorEastAsia" w:hAnsiTheme="minorEastAsia" w:eastAsiaTheme="minorEastAsia"/>
        </w:rPr>
        <w:t>）。</w:t>
      </w:r>
    </w:p>
    <w:p>
      <w:pPr>
        <w:spacing w:line="480" w:lineRule="exact"/>
        <w:ind w:firstLine="566" w:firstLineChars="236"/>
        <w:rPr>
          <w:rFonts w:hint="eastAsia" w:asciiTheme="minorEastAsia" w:hAnsiTheme="minorEastAsia" w:eastAsiaTheme="minorEastAsia"/>
        </w:rPr>
      </w:pPr>
      <w:r>
        <w:rPr>
          <w:rFonts w:hint="eastAsia" w:asciiTheme="minorEastAsia" w:hAnsiTheme="minorEastAsia" w:eastAsiaTheme="minorEastAsia"/>
        </w:rPr>
        <w:t>主管单位：无锡市住房和城乡建设局</w:t>
      </w:r>
    </w:p>
    <w:p>
      <w:pPr>
        <w:spacing w:line="480" w:lineRule="exact"/>
        <w:ind w:firstLine="566" w:firstLineChars="236"/>
        <w:rPr>
          <w:rFonts w:hint="eastAsia" w:asciiTheme="minorEastAsia" w:hAnsiTheme="minorEastAsia" w:eastAsiaTheme="minorEastAsia"/>
        </w:rPr>
      </w:pPr>
      <w:r>
        <w:rPr>
          <w:rFonts w:hint="eastAsia" w:asciiTheme="minorEastAsia" w:hAnsiTheme="minorEastAsia" w:eastAsiaTheme="minorEastAsia"/>
        </w:rPr>
        <w:t>主编单位：无锡市建设工程设计审查中心</w:t>
      </w:r>
    </w:p>
    <w:p>
      <w:pPr>
        <w:spacing w:line="480" w:lineRule="exact"/>
        <w:ind w:firstLine="566" w:firstLineChars="236"/>
        <w:rPr>
          <w:rFonts w:asciiTheme="minorEastAsia" w:hAnsiTheme="minorEastAsia" w:eastAsiaTheme="minorEastAsia"/>
        </w:rPr>
      </w:pPr>
      <w:r>
        <w:rPr>
          <w:rFonts w:hint="eastAsia" w:asciiTheme="minorEastAsia" w:hAnsiTheme="minorEastAsia" w:eastAsiaTheme="minorEastAsia"/>
        </w:rPr>
        <w:t>参编单位：无锡市建筑设计研究院有限责任公司</w:t>
      </w:r>
    </w:p>
    <w:p>
      <w:pPr>
        <w:spacing w:line="480" w:lineRule="exact"/>
        <w:ind w:left="1500" w:firstLine="240" w:firstLineChars="100"/>
        <w:jc w:val="left"/>
        <w:rPr>
          <w:rFonts w:asciiTheme="minorEastAsia" w:hAnsiTheme="minorEastAsia" w:eastAsiaTheme="minorEastAsia"/>
        </w:rPr>
      </w:pPr>
      <w:r>
        <w:rPr>
          <w:rFonts w:asciiTheme="minorEastAsia" w:hAnsiTheme="minorEastAsia" w:eastAsiaTheme="minorEastAsia"/>
        </w:rPr>
        <w:t>江苏博森建筑设计有限公司</w:t>
      </w:r>
    </w:p>
    <w:p>
      <w:pPr>
        <w:spacing w:line="480" w:lineRule="exact"/>
        <w:ind w:left="1320" w:firstLine="420"/>
        <w:jc w:val="left"/>
        <w:rPr>
          <w:rFonts w:asciiTheme="minorEastAsia" w:hAnsiTheme="minorEastAsia" w:eastAsiaTheme="minorEastAsia"/>
        </w:rPr>
      </w:pPr>
      <w:r>
        <w:rPr>
          <w:rFonts w:asciiTheme="minorEastAsia" w:hAnsiTheme="minorEastAsia" w:eastAsiaTheme="minorEastAsia"/>
        </w:rPr>
        <w:t>江苏城归设计有限公司</w:t>
      </w:r>
    </w:p>
    <w:p>
      <w:pPr>
        <w:spacing w:line="480" w:lineRule="exact"/>
        <w:jc w:val="center"/>
        <w:rPr>
          <w:rFonts w:ascii="宋体" w:hAnsi="宋体"/>
          <w:b/>
          <w:sz w:val="32"/>
          <w:szCs w:val="32"/>
        </w:rPr>
      </w:pPr>
    </w:p>
    <w:p>
      <w:pPr>
        <w:spacing w:line="480" w:lineRule="exact"/>
        <w:rPr>
          <w:rFonts w:ascii="宋体" w:hAnsi="宋体"/>
          <w:b/>
          <w:sz w:val="32"/>
          <w:szCs w:val="32"/>
        </w:rPr>
      </w:pPr>
    </w:p>
    <w:p>
      <w:pPr>
        <w:spacing w:line="480" w:lineRule="exact"/>
        <w:rPr>
          <w:rFonts w:ascii="宋体" w:hAnsi="宋体"/>
          <w:b/>
          <w:sz w:val="32"/>
          <w:szCs w:val="32"/>
        </w:rPr>
      </w:pPr>
    </w:p>
    <w:p>
      <w:pPr>
        <w:spacing w:line="480" w:lineRule="exact"/>
        <w:rPr>
          <w:rFonts w:ascii="宋体" w:hAnsi="宋体"/>
          <w:b/>
          <w:sz w:val="32"/>
          <w:szCs w:val="32"/>
        </w:rPr>
      </w:pPr>
    </w:p>
    <w:p>
      <w:pPr>
        <w:spacing w:line="480" w:lineRule="exact"/>
        <w:rPr>
          <w:rFonts w:ascii="宋体" w:hAnsi="宋体"/>
          <w:b/>
          <w:sz w:val="32"/>
          <w:szCs w:val="32"/>
        </w:rPr>
      </w:pPr>
    </w:p>
    <w:p>
      <w:pPr>
        <w:spacing w:line="480" w:lineRule="exact"/>
        <w:rPr>
          <w:rFonts w:ascii="宋体" w:hAnsi="宋体"/>
          <w:b/>
          <w:sz w:val="32"/>
          <w:szCs w:val="32"/>
        </w:rPr>
      </w:pPr>
    </w:p>
    <w:p>
      <w:pPr>
        <w:widowControl/>
        <w:spacing w:line="480" w:lineRule="exact"/>
        <w:jc w:val="left"/>
        <w:rPr>
          <w:rFonts w:ascii="宋体" w:hAnsi="宋体"/>
          <w:b/>
          <w:sz w:val="32"/>
          <w:szCs w:val="32"/>
        </w:rPr>
      </w:pPr>
      <w:r>
        <w:rPr>
          <w:rFonts w:ascii="宋体" w:hAnsi="宋体"/>
          <w:b/>
          <w:sz w:val="32"/>
          <w:szCs w:val="32"/>
        </w:rPr>
        <w:br w:type="page"/>
      </w:r>
    </w:p>
    <w:sdt>
      <w:sdtPr>
        <w:rPr>
          <w:rFonts w:hint="eastAsia" w:ascii="黑体" w:hAnsi="黑体" w:eastAsia="黑体" w:cs="黑体"/>
          <w:sz w:val="22"/>
          <w:szCs w:val="28"/>
        </w:rPr>
        <w:id w:val="147480270"/>
        <w:docPartObj>
          <w:docPartGallery w:val="Table of Contents"/>
          <w:docPartUnique/>
        </w:docPartObj>
      </w:sdtPr>
      <w:sdtEndPr>
        <w:rPr>
          <w:rFonts w:hint="eastAsia" w:ascii="黑体" w:hAnsi="黑体" w:eastAsia="黑体" w:cs="Times New Roman"/>
          <w:sz w:val="24"/>
          <w:szCs w:val="32"/>
        </w:rPr>
      </w:sdtEndPr>
      <w:sdtContent>
        <w:p>
          <w:pPr>
            <w:jc w:val="center"/>
            <w:rPr>
              <w:rFonts w:ascii="黑体" w:hAnsi="黑体" w:eastAsia="黑体" w:cs="黑体"/>
              <w:sz w:val="32"/>
              <w:szCs w:val="40"/>
            </w:rPr>
          </w:pPr>
          <w:r>
            <w:rPr>
              <w:rFonts w:hint="eastAsia" w:ascii="黑体" w:hAnsi="黑体" w:eastAsia="黑体" w:cs="黑体"/>
              <w:sz w:val="32"/>
              <w:szCs w:val="40"/>
            </w:rPr>
            <w:t>目 录</w:t>
          </w:r>
        </w:p>
        <w:p>
          <w:pPr>
            <w:pStyle w:val="24"/>
            <w:tabs>
              <w:tab w:val="right" w:leader="dot" w:pos="8504"/>
            </w:tabs>
            <w:rPr>
              <w:sz w:val="28"/>
              <w:szCs w:val="28"/>
            </w:rPr>
          </w:pPr>
          <w:r>
            <w:rPr>
              <w:rFonts w:ascii="黑体" w:hAnsi="黑体" w:eastAsia="黑体"/>
              <w:sz w:val="28"/>
              <w:szCs w:val="36"/>
            </w:rPr>
            <w:fldChar w:fldCharType="begin"/>
          </w:r>
          <w:r>
            <w:rPr>
              <w:rFonts w:ascii="黑体" w:hAnsi="黑体" w:eastAsia="黑体"/>
              <w:sz w:val="28"/>
              <w:szCs w:val="36"/>
            </w:rPr>
            <w:instrText xml:space="preserve">TOC \o "1-3" \h \u </w:instrText>
          </w:r>
          <w:r>
            <w:rPr>
              <w:rFonts w:ascii="黑体" w:hAnsi="黑体" w:eastAsia="黑体"/>
              <w:sz w:val="28"/>
              <w:szCs w:val="36"/>
            </w:rPr>
            <w:fldChar w:fldCharType="separate"/>
          </w:r>
        </w:p>
        <w:p>
          <w:pPr>
            <w:pStyle w:val="24"/>
            <w:tabs>
              <w:tab w:val="right" w:leader="dot" w:pos="8504"/>
            </w:tabs>
            <w:rPr>
              <w:rFonts w:ascii="黑体" w:hAnsi="黑体" w:eastAsia="黑体" w:cs="黑体"/>
              <w:sz w:val="28"/>
              <w:szCs w:val="28"/>
            </w:rPr>
          </w:pPr>
          <w:r>
            <w:fldChar w:fldCharType="begin"/>
          </w:r>
          <w:r>
            <w:instrText xml:space="preserve"> HYPERLINK \l "_Toc32010" </w:instrText>
          </w:r>
          <w:r>
            <w:fldChar w:fldCharType="separate"/>
          </w:r>
          <w:r>
            <w:rPr>
              <w:rFonts w:hint="eastAsia" w:ascii="黑体" w:hAnsi="黑体" w:eastAsia="黑体" w:cs="黑体"/>
              <w:bCs/>
              <w:kern w:val="44"/>
              <w:sz w:val="28"/>
              <w:szCs w:val="48"/>
              <w:lang w:val="zh-CN"/>
            </w:rPr>
            <w:t>1 总则</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_Toc32010 </w:instrText>
          </w:r>
          <w:r>
            <w:rPr>
              <w:rFonts w:hint="eastAsia" w:ascii="黑体" w:hAnsi="黑体" w:eastAsia="黑体" w:cs="黑体"/>
              <w:sz w:val="28"/>
              <w:szCs w:val="28"/>
            </w:rPr>
            <w:fldChar w:fldCharType="separate"/>
          </w:r>
          <w:r>
            <w:rPr>
              <w:rFonts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24"/>
            <w:tabs>
              <w:tab w:val="right" w:leader="dot" w:pos="8504"/>
            </w:tabs>
            <w:rPr>
              <w:rFonts w:ascii="黑体" w:hAnsi="黑体" w:eastAsia="黑体" w:cs="黑体"/>
              <w:sz w:val="28"/>
              <w:szCs w:val="28"/>
            </w:rPr>
          </w:pPr>
          <w:r>
            <w:fldChar w:fldCharType="begin"/>
          </w:r>
          <w:r>
            <w:instrText xml:space="preserve"> HYPERLINK \l "_Toc17418" </w:instrText>
          </w:r>
          <w:r>
            <w:fldChar w:fldCharType="separate"/>
          </w:r>
          <w:r>
            <w:rPr>
              <w:rFonts w:hint="eastAsia" w:ascii="黑体" w:hAnsi="黑体" w:eastAsia="黑体" w:cs="黑体"/>
              <w:bCs/>
              <w:kern w:val="44"/>
              <w:sz w:val="28"/>
              <w:szCs w:val="48"/>
              <w:lang w:val="zh-CN"/>
            </w:rPr>
            <w:t>2 建筑专业</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_Toc17418 </w:instrText>
          </w:r>
          <w:r>
            <w:rPr>
              <w:rFonts w:hint="eastAsia" w:ascii="黑体" w:hAnsi="黑体" w:eastAsia="黑体" w:cs="黑体"/>
              <w:sz w:val="28"/>
              <w:szCs w:val="28"/>
            </w:rPr>
            <w:fldChar w:fldCharType="separate"/>
          </w:r>
          <w:r>
            <w:rPr>
              <w:rFonts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27"/>
            <w:tabs>
              <w:tab w:val="right" w:leader="dot" w:pos="8504"/>
            </w:tabs>
            <w:ind w:left="480"/>
            <w:rPr>
              <w:rFonts w:ascii="黑体" w:hAnsi="黑体" w:eastAsia="黑体" w:cs="黑体"/>
              <w:sz w:val="28"/>
              <w:szCs w:val="28"/>
            </w:rPr>
          </w:pPr>
          <w:r>
            <w:fldChar w:fldCharType="begin"/>
          </w:r>
          <w:r>
            <w:instrText xml:space="preserve"> HYPERLINK \l "_Toc4612" </w:instrText>
          </w:r>
          <w:r>
            <w:fldChar w:fldCharType="separate"/>
          </w:r>
          <w:r>
            <w:rPr>
              <w:rFonts w:hint="eastAsia" w:ascii="黑体" w:hAnsi="黑体" w:eastAsia="黑体" w:cs="黑体"/>
              <w:bCs/>
              <w:sz w:val="28"/>
              <w:szCs w:val="32"/>
              <w:lang w:val="zh-CN"/>
            </w:rPr>
            <w:t>2.1 外部环境</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_Toc4612 </w:instrText>
          </w:r>
          <w:r>
            <w:rPr>
              <w:rFonts w:hint="eastAsia" w:ascii="黑体" w:hAnsi="黑体" w:eastAsia="黑体" w:cs="黑体"/>
              <w:sz w:val="28"/>
              <w:szCs w:val="28"/>
            </w:rPr>
            <w:fldChar w:fldCharType="separate"/>
          </w:r>
          <w:r>
            <w:rPr>
              <w:rFonts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27"/>
            <w:tabs>
              <w:tab w:val="right" w:leader="dot" w:pos="8504"/>
            </w:tabs>
            <w:ind w:left="480"/>
            <w:rPr>
              <w:rFonts w:ascii="黑体" w:hAnsi="黑体" w:eastAsia="黑体" w:cs="黑体"/>
              <w:sz w:val="28"/>
              <w:szCs w:val="28"/>
            </w:rPr>
          </w:pPr>
          <w:r>
            <w:fldChar w:fldCharType="begin"/>
          </w:r>
          <w:r>
            <w:instrText xml:space="preserve"> HYPERLINK \l "_Toc13300" </w:instrText>
          </w:r>
          <w:r>
            <w:fldChar w:fldCharType="separate"/>
          </w:r>
          <w:r>
            <w:rPr>
              <w:rFonts w:hint="eastAsia" w:ascii="黑体" w:hAnsi="黑体" w:eastAsia="黑体" w:cs="黑体"/>
              <w:bCs/>
              <w:sz w:val="28"/>
              <w:szCs w:val="32"/>
              <w:lang w:val="zh-CN"/>
            </w:rPr>
            <w:t>2.2 住宅基本要求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_Toc13300 </w:instrText>
          </w:r>
          <w:r>
            <w:rPr>
              <w:rFonts w:hint="eastAsia" w:ascii="黑体" w:hAnsi="黑体" w:eastAsia="黑体" w:cs="黑体"/>
              <w:sz w:val="28"/>
              <w:szCs w:val="28"/>
            </w:rPr>
            <w:fldChar w:fldCharType="separate"/>
          </w:r>
          <w:r>
            <w:rPr>
              <w:rFonts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27"/>
            <w:tabs>
              <w:tab w:val="right" w:leader="dot" w:pos="8504"/>
            </w:tabs>
            <w:ind w:left="480"/>
            <w:rPr>
              <w:rFonts w:ascii="黑体" w:hAnsi="黑体" w:eastAsia="黑体" w:cs="黑体"/>
              <w:sz w:val="28"/>
              <w:szCs w:val="28"/>
            </w:rPr>
          </w:pPr>
          <w:r>
            <w:fldChar w:fldCharType="begin"/>
          </w:r>
          <w:r>
            <w:instrText xml:space="preserve"> HYPERLINK \l "_Toc1641" </w:instrText>
          </w:r>
          <w:r>
            <w:fldChar w:fldCharType="separate"/>
          </w:r>
          <w:r>
            <w:rPr>
              <w:rFonts w:hint="eastAsia" w:ascii="黑体" w:hAnsi="黑体" w:eastAsia="黑体" w:cs="黑体"/>
              <w:bCs/>
              <w:sz w:val="28"/>
              <w:szCs w:val="32"/>
              <w:lang w:val="zh-CN"/>
            </w:rPr>
            <w:t>2.3 车库</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_Toc1641 </w:instrText>
          </w:r>
          <w:r>
            <w:rPr>
              <w:rFonts w:hint="eastAsia" w:ascii="黑体" w:hAnsi="黑体" w:eastAsia="黑体" w:cs="黑体"/>
              <w:sz w:val="28"/>
              <w:szCs w:val="28"/>
            </w:rPr>
            <w:fldChar w:fldCharType="separate"/>
          </w:r>
          <w:r>
            <w:rPr>
              <w:rFonts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24"/>
            <w:tabs>
              <w:tab w:val="right" w:leader="dot" w:pos="8504"/>
            </w:tabs>
            <w:rPr>
              <w:rFonts w:ascii="黑体" w:hAnsi="黑体" w:eastAsia="黑体" w:cs="黑体"/>
              <w:sz w:val="28"/>
              <w:szCs w:val="28"/>
            </w:rPr>
          </w:pPr>
          <w:r>
            <w:fldChar w:fldCharType="begin"/>
          </w:r>
          <w:r>
            <w:instrText xml:space="preserve"> HYPERLINK \l "_Toc22793" </w:instrText>
          </w:r>
          <w:r>
            <w:fldChar w:fldCharType="separate"/>
          </w:r>
          <w:r>
            <w:rPr>
              <w:rFonts w:hint="eastAsia" w:ascii="黑体" w:hAnsi="黑体" w:eastAsia="黑体" w:cs="黑体"/>
              <w:bCs/>
              <w:kern w:val="44"/>
              <w:sz w:val="28"/>
              <w:szCs w:val="48"/>
              <w:lang w:val="zh-CN"/>
            </w:rPr>
            <w:t>3 结构专业</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_Toc22793 </w:instrText>
          </w:r>
          <w:r>
            <w:rPr>
              <w:rFonts w:hint="eastAsia" w:ascii="黑体" w:hAnsi="黑体" w:eastAsia="黑体" w:cs="黑体"/>
              <w:sz w:val="28"/>
              <w:szCs w:val="28"/>
            </w:rPr>
            <w:fldChar w:fldCharType="separate"/>
          </w:r>
          <w:r>
            <w:rPr>
              <w:rFonts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24"/>
            <w:tabs>
              <w:tab w:val="right" w:leader="dot" w:pos="8504"/>
            </w:tabs>
            <w:rPr>
              <w:rFonts w:ascii="黑体" w:hAnsi="黑体" w:eastAsia="黑体" w:cs="黑体"/>
              <w:sz w:val="28"/>
              <w:szCs w:val="28"/>
            </w:rPr>
          </w:pPr>
          <w:r>
            <w:fldChar w:fldCharType="begin"/>
          </w:r>
          <w:r>
            <w:instrText xml:space="preserve"> HYPERLINK \l "_Toc6268" </w:instrText>
          </w:r>
          <w:r>
            <w:fldChar w:fldCharType="separate"/>
          </w:r>
          <w:r>
            <w:rPr>
              <w:rFonts w:hint="eastAsia" w:ascii="黑体" w:hAnsi="黑体" w:eastAsia="黑体" w:cs="黑体"/>
              <w:bCs/>
              <w:kern w:val="44"/>
              <w:sz w:val="28"/>
              <w:szCs w:val="48"/>
              <w:lang w:val="zh-CN"/>
            </w:rPr>
            <w:t>4 给排水专业</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_Toc6268 </w:instrText>
          </w:r>
          <w:r>
            <w:rPr>
              <w:rFonts w:hint="eastAsia" w:ascii="黑体" w:hAnsi="黑体" w:eastAsia="黑体" w:cs="黑体"/>
              <w:sz w:val="28"/>
              <w:szCs w:val="28"/>
            </w:rPr>
            <w:fldChar w:fldCharType="separate"/>
          </w:r>
          <w:r>
            <w:rPr>
              <w:rFonts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24"/>
            <w:tabs>
              <w:tab w:val="right" w:leader="dot" w:pos="8504"/>
            </w:tabs>
            <w:rPr>
              <w:rFonts w:ascii="黑体" w:hAnsi="黑体" w:eastAsia="黑体" w:cs="黑体"/>
              <w:sz w:val="28"/>
              <w:szCs w:val="28"/>
            </w:rPr>
          </w:pPr>
          <w:r>
            <w:fldChar w:fldCharType="begin"/>
          </w:r>
          <w:r>
            <w:instrText xml:space="preserve"> HYPERLINK \l "_Toc14487" </w:instrText>
          </w:r>
          <w:r>
            <w:fldChar w:fldCharType="separate"/>
          </w:r>
          <w:r>
            <w:rPr>
              <w:rFonts w:hint="eastAsia" w:ascii="黑体" w:hAnsi="黑体" w:eastAsia="黑体" w:cs="黑体"/>
              <w:bCs/>
              <w:kern w:val="44"/>
              <w:sz w:val="28"/>
              <w:szCs w:val="48"/>
              <w:lang w:val="zh-CN"/>
            </w:rPr>
            <w:t>5 电气专业</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_Toc14487 </w:instrText>
          </w:r>
          <w:r>
            <w:rPr>
              <w:rFonts w:hint="eastAsia" w:ascii="黑体" w:hAnsi="黑体" w:eastAsia="黑体" w:cs="黑体"/>
              <w:sz w:val="28"/>
              <w:szCs w:val="28"/>
            </w:rPr>
            <w:fldChar w:fldCharType="separate"/>
          </w:r>
          <w:r>
            <w:rPr>
              <w:rFonts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24"/>
            <w:tabs>
              <w:tab w:val="right" w:leader="dot" w:pos="8504"/>
            </w:tabs>
            <w:rPr>
              <w:rFonts w:ascii="黑体" w:hAnsi="黑体" w:eastAsia="黑体" w:cs="黑体"/>
              <w:sz w:val="28"/>
              <w:szCs w:val="28"/>
            </w:rPr>
          </w:pPr>
          <w:r>
            <w:fldChar w:fldCharType="begin"/>
          </w:r>
          <w:r>
            <w:instrText xml:space="preserve"> HYPERLINK \l "_Toc30371" </w:instrText>
          </w:r>
          <w:r>
            <w:fldChar w:fldCharType="separate"/>
          </w:r>
          <w:r>
            <w:rPr>
              <w:rFonts w:hint="eastAsia" w:ascii="黑体" w:hAnsi="黑体" w:eastAsia="黑体" w:cs="黑体"/>
              <w:bCs/>
              <w:kern w:val="44"/>
              <w:sz w:val="28"/>
              <w:szCs w:val="48"/>
              <w:lang w:val="zh-CN"/>
            </w:rPr>
            <w:t>6 暖通专业</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_Toc30371 </w:instrText>
          </w:r>
          <w:r>
            <w:rPr>
              <w:rFonts w:hint="eastAsia" w:ascii="黑体" w:hAnsi="黑体" w:eastAsia="黑体" w:cs="黑体"/>
              <w:sz w:val="28"/>
              <w:szCs w:val="28"/>
            </w:rPr>
            <w:fldChar w:fldCharType="separate"/>
          </w:r>
          <w:r>
            <w:rPr>
              <w:rFonts w:ascii="黑体" w:hAnsi="黑体" w:eastAsia="黑体" w:cs="黑体"/>
              <w:sz w:val="28"/>
              <w:szCs w:val="28"/>
            </w:rPr>
            <w:t>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81"/>
            <w:spacing w:line="480" w:lineRule="exact"/>
            <w:ind w:firstLine="0" w:firstLineChars="0"/>
            <w:jc w:val="left"/>
            <w:rPr>
              <w:rFonts w:ascii="黑体" w:hAnsi="黑体" w:eastAsia="黑体"/>
              <w:szCs w:val="32"/>
            </w:rPr>
          </w:pPr>
          <w:r>
            <w:rPr>
              <w:rFonts w:ascii="黑体" w:hAnsi="黑体" w:eastAsia="黑体"/>
              <w:sz w:val="28"/>
              <w:szCs w:val="36"/>
            </w:rPr>
            <w:fldChar w:fldCharType="end"/>
          </w:r>
        </w:p>
      </w:sdtContent>
    </w:sdt>
    <w:p>
      <w:pPr>
        <w:spacing w:line="480" w:lineRule="exact"/>
        <w:jc w:val="center"/>
        <w:rPr>
          <w:rFonts w:ascii="黑体" w:hAnsi="黑体" w:eastAsia="黑体"/>
          <w:color w:val="FF0000"/>
          <w:sz w:val="32"/>
          <w:szCs w:val="32"/>
        </w:rPr>
      </w:pPr>
    </w:p>
    <w:p>
      <w:pPr>
        <w:spacing w:line="480" w:lineRule="exact"/>
        <w:jc w:val="center"/>
        <w:rPr>
          <w:rFonts w:ascii="黑体" w:hAnsi="黑体" w:eastAsia="黑体"/>
          <w:sz w:val="32"/>
          <w:szCs w:val="32"/>
        </w:rPr>
      </w:pPr>
    </w:p>
    <w:p>
      <w:pPr>
        <w:spacing w:line="480" w:lineRule="exact"/>
        <w:jc w:val="center"/>
        <w:rPr>
          <w:rFonts w:ascii="黑体" w:hAnsi="黑体" w:eastAsia="黑体"/>
          <w:sz w:val="32"/>
          <w:szCs w:val="32"/>
        </w:rPr>
      </w:pPr>
    </w:p>
    <w:p>
      <w:pPr>
        <w:spacing w:line="480" w:lineRule="exact"/>
        <w:jc w:val="center"/>
        <w:rPr>
          <w:rFonts w:ascii="黑体" w:hAnsi="黑体" w:eastAsia="黑体"/>
          <w:sz w:val="32"/>
          <w:szCs w:val="32"/>
        </w:rPr>
        <w:sectPr>
          <w:pgSz w:w="11906" w:h="16838"/>
          <w:pgMar w:top="1418" w:right="1701" w:bottom="1418" w:left="1701" w:header="851" w:footer="992" w:gutter="0"/>
          <w:pgNumType w:start="1"/>
          <w:cols w:space="720" w:num="1"/>
          <w:docGrid w:type="lines" w:linePitch="312" w:charSpace="0"/>
        </w:sectPr>
      </w:pPr>
    </w:p>
    <w:p>
      <w:pPr>
        <w:spacing w:line="480" w:lineRule="exact"/>
        <w:rPr>
          <w:rFonts w:ascii="黑体" w:hAnsi="黑体" w:eastAsia="黑体"/>
          <w:sz w:val="32"/>
          <w:szCs w:val="32"/>
        </w:rPr>
      </w:pPr>
    </w:p>
    <w:bookmarkEnd w:id="0"/>
    <w:p>
      <w:pPr>
        <w:keepLines/>
        <w:numPr>
          <w:ilvl w:val="0"/>
          <w:numId w:val="2"/>
        </w:numPr>
        <w:spacing w:line="480" w:lineRule="exact"/>
        <w:ind w:left="758" w:hanging="758" w:hangingChars="236"/>
        <w:contextualSpacing/>
        <w:jc w:val="center"/>
        <w:outlineLvl w:val="0"/>
        <w:rPr>
          <w:rFonts w:eastAsia="黑体"/>
          <w:b/>
          <w:bCs/>
          <w:kern w:val="44"/>
          <w:sz w:val="32"/>
          <w:szCs w:val="44"/>
          <w:lang w:val="zh-CN"/>
        </w:rPr>
      </w:pPr>
      <w:bookmarkStart w:id="4" w:name="_Toc32010"/>
      <w:bookmarkStart w:id="5" w:name="_Toc57400456"/>
      <w:bookmarkStart w:id="6" w:name="_Toc19543610"/>
      <w:bookmarkStart w:id="7" w:name="_Toc380965750"/>
      <w:r>
        <w:rPr>
          <w:rFonts w:hint="eastAsia" w:eastAsia="黑体"/>
          <w:b/>
          <w:bCs/>
          <w:kern w:val="44"/>
          <w:sz w:val="32"/>
          <w:szCs w:val="44"/>
          <w:lang w:val="zh-CN"/>
        </w:rPr>
        <w:t>总则</w:t>
      </w:r>
      <w:bookmarkEnd w:id="4"/>
      <w:bookmarkEnd w:id="5"/>
    </w:p>
    <w:p>
      <w:pPr>
        <w:spacing w:line="480" w:lineRule="exact"/>
        <w:rPr>
          <w:rFonts w:asciiTheme="minorEastAsia" w:hAnsiTheme="minorEastAsia" w:eastAsiaTheme="minorEastAsia"/>
          <w:bCs/>
        </w:rPr>
      </w:pPr>
      <w:r>
        <w:rPr>
          <w:rFonts w:hint="eastAsia" w:asciiTheme="minorEastAsia" w:hAnsiTheme="minorEastAsia" w:eastAsiaTheme="minorEastAsia"/>
          <w:bCs/>
        </w:rPr>
        <w:t xml:space="preserve">1.0.1 </w:t>
      </w:r>
      <w:r>
        <w:rPr>
          <w:rFonts w:hint="eastAsia" w:asciiTheme="minorEastAsia" w:hAnsiTheme="minorEastAsia" w:eastAsiaTheme="minorEastAsia"/>
        </w:rPr>
        <w:t>为贯彻落实无锡市委、市政府关于提升我市住宅品质的要求，体现以人为本、可持续发展和安全耐久、健康舒适、生活便利、绿色设计、环境宜居的人性化住宅设计理念，推动促进</w:t>
      </w:r>
      <w:r>
        <w:rPr>
          <w:rFonts w:hint="eastAsia" w:asciiTheme="minorEastAsia" w:hAnsiTheme="minorEastAsia" w:eastAsiaTheme="minorEastAsia"/>
          <w:bCs/>
        </w:rPr>
        <w:t>本市</w:t>
      </w:r>
      <w:r>
        <w:rPr>
          <w:rFonts w:hint="eastAsia" w:asciiTheme="minorEastAsia" w:hAnsiTheme="minorEastAsia" w:eastAsiaTheme="minorEastAsia"/>
        </w:rPr>
        <w:t>住宅建设的高品质、高质量发展，制订本指引。</w:t>
      </w:r>
    </w:p>
    <w:p>
      <w:pPr>
        <w:spacing w:line="480" w:lineRule="exact"/>
        <w:rPr>
          <w:rFonts w:asciiTheme="minorEastAsia" w:hAnsiTheme="minorEastAsia" w:eastAsiaTheme="minorEastAsia"/>
          <w:bCs/>
        </w:rPr>
      </w:pPr>
      <w:r>
        <w:rPr>
          <w:rFonts w:hint="eastAsia" w:asciiTheme="minorEastAsia" w:hAnsiTheme="minorEastAsia" w:eastAsiaTheme="minorEastAsia"/>
          <w:bCs/>
        </w:rPr>
        <w:t xml:space="preserve">1.0.2 </w:t>
      </w:r>
      <w:r>
        <w:rPr>
          <w:rFonts w:hint="eastAsia" w:asciiTheme="minorEastAsia" w:hAnsiTheme="minorEastAsia" w:eastAsiaTheme="minorEastAsia"/>
        </w:rPr>
        <w:t>本指引涵盖了建筑、结构、给排水、电气、暖通五个专业。</w:t>
      </w:r>
    </w:p>
    <w:p>
      <w:pPr>
        <w:spacing w:line="480" w:lineRule="exact"/>
        <w:rPr>
          <w:rFonts w:asciiTheme="minorEastAsia" w:hAnsiTheme="minorEastAsia" w:eastAsiaTheme="minorEastAsia"/>
          <w:bCs/>
        </w:rPr>
      </w:pPr>
      <w:r>
        <w:rPr>
          <w:rFonts w:hint="eastAsia" w:asciiTheme="minorEastAsia" w:hAnsiTheme="minorEastAsia" w:eastAsiaTheme="minorEastAsia"/>
          <w:bCs/>
        </w:rPr>
        <w:t>1.0.3</w:t>
      </w:r>
      <w:r>
        <w:rPr>
          <w:rFonts w:asciiTheme="minorEastAsia" w:hAnsiTheme="minorEastAsia" w:eastAsiaTheme="minorEastAsia"/>
          <w:bCs/>
        </w:rPr>
        <w:t xml:space="preserve"> </w:t>
      </w:r>
      <w:r>
        <w:rPr>
          <w:rFonts w:hint="eastAsia" w:asciiTheme="minorEastAsia" w:hAnsiTheme="minorEastAsia" w:eastAsiaTheme="minorEastAsia"/>
        </w:rPr>
        <w:t>本指引作为提升住宅工程设计品质的主要措施，供相关单位在从事住宅工程建设时参考使用。</w:t>
      </w:r>
    </w:p>
    <w:p>
      <w:pPr>
        <w:spacing w:line="480" w:lineRule="exact"/>
        <w:rPr>
          <w:rFonts w:asciiTheme="minorEastAsia" w:hAnsiTheme="minorEastAsia" w:eastAsiaTheme="minorEastAsia"/>
          <w:bCs/>
        </w:rPr>
      </w:pPr>
      <w:r>
        <w:rPr>
          <w:rFonts w:hint="eastAsia" w:asciiTheme="minorEastAsia" w:hAnsiTheme="minorEastAsia" w:eastAsiaTheme="minorEastAsia"/>
          <w:bCs/>
        </w:rPr>
        <w:t>1.0.4 本指引中涉及的专业名词可参照现行《住宅设计规范》、《城市居住区规划设计标准》、《江苏省住宅设计标准》、《民用建筑设计统一标准》、《建筑设计防火规范》等相关规范、标准中的解释。</w:t>
      </w:r>
    </w:p>
    <w:p>
      <w:pPr>
        <w:spacing w:line="480" w:lineRule="exact"/>
        <w:rPr>
          <w:rFonts w:asciiTheme="minorEastAsia" w:hAnsiTheme="minorEastAsia" w:eastAsiaTheme="minorEastAsia"/>
          <w:bCs/>
        </w:rPr>
      </w:pPr>
      <w:r>
        <w:rPr>
          <w:rFonts w:hint="eastAsia" w:asciiTheme="minorEastAsia" w:hAnsiTheme="minorEastAsia" w:eastAsiaTheme="minorEastAsia"/>
          <w:bCs/>
        </w:rPr>
        <w:t>1</w:t>
      </w:r>
      <w:r>
        <w:rPr>
          <w:rFonts w:asciiTheme="minorEastAsia" w:hAnsiTheme="minorEastAsia" w:eastAsiaTheme="minorEastAsia"/>
          <w:bCs/>
        </w:rPr>
        <w:t xml:space="preserve">.0.5 </w:t>
      </w:r>
      <w:r>
        <w:rPr>
          <w:rFonts w:hint="eastAsia" w:asciiTheme="minorEastAsia" w:hAnsiTheme="minorEastAsia" w:eastAsiaTheme="minorEastAsia"/>
        </w:rPr>
        <w:t>住宅建筑设计尚应符合国家和江苏省现行政策、法规以及相关标准、规范的规定。</w:t>
      </w:r>
    </w:p>
    <w:p>
      <w:pPr>
        <w:pStyle w:val="43"/>
        <w:spacing w:beforeLines="0" w:afterLines="0" w:line="480" w:lineRule="exact"/>
        <w:jc w:val="both"/>
        <w:outlineLvl w:val="9"/>
        <w:rPr>
          <w:b w:val="0"/>
          <w:bCs w:val="0"/>
          <w:sz w:val="24"/>
          <w:szCs w:val="24"/>
        </w:rPr>
      </w:pPr>
    </w:p>
    <w:p>
      <w:pPr>
        <w:pStyle w:val="43"/>
        <w:spacing w:beforeLines="0" w:afterLines="0" w:line="480" w:lineRule="exact"/>
        <w:jc w:val="both"/>
        <w:outlineLvl w:val="9"/>
        <w:rPr>
          <w:b w:val="0"/>
          <w:bCs w:val="0"/>
          <w:sz w:val="24"/>
          <w:szCs w:val="24"/>
        </w:rPr>
      </w:pPr>
    </w:p>
    <w:p>
      <w:pPr>
        <w:pStyle w:val="43"/>
        <w:spacing w:beforeLines="0" w:afterLines="0" w:line="480" w:lineRule="exact"/>
        <w:jc w:val="both"/>
        <w:outlineLvl w:val="9"/>
        <w:rPr>
          <w:b w:val="0"/>
          <w:bCs w:val="0"/>
          <w:sz w:val="24"/>
          <w:szCs w:val="24"/>
        </w:rPr>
      </w:pPr>
    </w:p>
    <w:p>
      <w:pPr>
        <w:pStyle w:val="43"/>
        <w:spacing w:beforeLines="0" w:afterLines="0" w:line="480" w:lineRule="exact"/>
        <w:jc w:val="both"/>
        <w:outlineLvl w:val="9"/>
        <w:rPr>
          <w:b w:val="0"/>
          <w:bCs w:val="0"/>
          <w:sz w:val="24"/>
          <w:szCs w:val="24"/>
        </w:rPr>
      </w:pPr>
    </w:p>
    <w:p>
      <w:pPr>
        <w:pStyle w:val="43"/>
        <w:spacing w:beforeLines="0" w:afterLines="0" w:line="480" w:lineRule="exact"/>
        <w:jc w:val="both"/>
        <w:outlineLvl w:val="9"/>
        <w:rPr>
          <w:b w:val="0"/>
          <w:bCs w:val="0"/>
          <w:sz w:val="24"/>
          <w:szCs w:val="24"/>
        </w:rPr>
      </w:pPr>
    </w:p>
    <w:p>
      <w:pPr>
        <w:pStyle w:val="43"/>
        <w:spacing w:beforeLines="0" w:afterLines="0" w:line="480" w:lineRule="exact"/>
        <w:jc w:val="both"/>
        <w:outlineLvl w:val="9"/>
        <w:rPr>
          <w:b w:val="0"/>
          <w:bCs w:val="0"/>
          <w:sz w:val="24"/>
          <w:szCs w:val="24"/>
        </w:rPr>
      </w:pPr>
    </w:p>
    <w:p>
      <w:pPr>
        <w:pStyle w:val="43"/>
        <w:spacing w:beforeLines="0" w:afterLines="0" w:line="480" w:lineRule="exact"/>
        <w:jc w:val="both"/>
        <w:outlineLvl w:val="9"/>
        <w:rPr>
          <w:b w:val="0"/>
          <w:bCs w:val="0"/>
          <w:sz w:val="24"/>
          <w:szCs w:val="24"/>
        </w:rPr>
      </w:pPr>
    </w:p>
    <w:p>
      <w:pPr>
        <w:pStyle w:val="43"/>
        <w:spacing w:beforeLines="0" w:afterLines="0" w:line="480" w:lineRule="exact"/>
        <w:jc w:val="both"/>
        <w:outlineLvl w:val="9"/>
        <w:rPr>
          <w:b w:val="0"/>
          <w:bCs w:val="0"/>
          <w:sz w:val="24"/>
          <w:szCs w:val="24"/>
        </w:rPr>
      </w:pPr>
    </w:p>
    <w:p>
      <w:pPr>
        <w:pStyle w:val="43"/>
        <w:spacing w:beforeLines="0" w:afterLines="0" w:line="480" w:lineRule="exact"/>
        <w:jc w:val="both"/>
        <w:outlineLvl w:val="9"/>
        <w:rPr>
          <w:b w:val="0"/>
          <w:bCs w:val="0"/>
          <w:sz w:val="24"/>
          <w:szCs w:val="24"/>
        </w:rPr>
      </w:pPr>
    </w:p>
    <w:p>
      <w:pPr>
        <w:pStyle w:val="43"/>
        <w:spacing w:beforeLines="0" w:afterLines="0" w:line="480" w:lineRule="exact"/>
        <w:jc w:val="both"/>
        <w:outlineLvl w:val="9"/>
        <w:rPr>
          <w:b w:val="0"/>
          <w:bCs w:val="0"/>
          <w:sz w:val="24"/>
          <w:szCs w:val="24"/>
        </w:rPr>
      </w:pPr>
    </w:p>
    <w:p>
      <w:pPr>
        <w:pStyle w:val="43"/>
        <w:spacing w:beforeLines="0" w:afterLines="0" w:line="480" w:lineRule="exact"/>
        <w:jc w:val="both"/>
        <w:outlineLvl w:val="9"/>
        <w:rPr>
          <w:b w:val="0"/>
          <w:bCs w:val="0"/>
          <w:sz w:val="24"/>
          <w:szCs w:val="24"/>
        </w:rPr>
      </w:pPr>
    </w:p>
    <w:p>
      <w:pPr>
        <w:pStyle w:val="43"/>
        <w:spacing w:beforeLines="0" w:afterLines="0" w:line="480" w:lineRule="exact"/>
        <w:jc w:val="both"/>
        <w:outlineLvl w:val="9"/>
        <w:rPr>
          <w:b w:val="0"/>
          <w:bCs w:val="0"/>
          <w:sz w:val="24"/>
          <w:szCs w:val="24"/>
        </w:rPr>
      </w:pPr>
    </w:p>
    <w:p>
      <w:pPr>
        <w:pStyle w:val="43"/>
        <w:spacing w:beforeLines="0" w:afterLines="0" w:line="480" w:lineRule="exact"/>
        <w:jc w:val="both"/>
        <w:outlineLvl w:val="9"/>
        <w:rPr>
          <w:b w:val="0"/>
          <w:bCs w:val="0"/>
          <w:sz w:val="24"/>
          <w:szCs w:val="24"/>
        </w:rPr>
      </w:pPr>
    </w:p>
    <w:p>
      <w:pPr>
        <w:pStyle w:val="43"/>
        <w:spacing w:beforeLines="0" w:afterLines="0" w:line="480" w:lineRule="exact"/>
        <w:jc w:val="both"/>
        <w:outlineLvl w:val="9"/>
        <w:rPr>
          <w:b w:val="0"/>
          <w:bCs w:val="0"/>
          <w:sz w:val="24"/>
          <w:szCs w:val="24"/>
        </w:rPr>
      </w:pPr>
    </w:p>
    <w:p>
      <w:pPr>
        <w:pStyle w:val="43"/>
        <w:spacing w:beforeLines="0" w:afterLines="0" w:line="480" w:lineRule="exact"/>
        <w:jc w:val="both"/>
        <w:outlineLvl w:val="9"/>
        <w:rPr>
          <w:b w:val="0"/>
          <w:bCs w:val="0"/>
          <w:sz w:val="24"/>
          <w:szCs w:val="24"/>
        </w:rPr>
      </w:pPr>
    </w:p>
    <w:p>
      <w:pPr>
        <w:pStyle w:val="43"/>
        <w:spacing w:beforeLines="0" w:afterLines="0" w:line="480" w:lineRule="exact"/>
        <w:jc w:val="both"/>
        <w:outlineLvl w:val="9"/>
        <w:rPr>
          <w:rFonts w:ascii="宋体" w:hAnsi="宋体"/>
          <w:color w:val="000000"/>
          <w:sz w:val="40"/>
          <w:szCs w:val="40"/>
        </w:rPr>
      </w:pPr>
    </w:p>
    <w:bookmarkEnd w:id="6"/>
    <w:bookmarkEnd w:id="7"/>
    <w:p>
      <w:pPr>
        <w:keepLines/>
        <w:numPr>
          <w:ilvl w:val="0"/>
          <w:numId w:val="2"/>
        </w:numPr>
        <w:spacing w:line="480" w:lineRule="exact"/>
        <w:ind w:left="758" w:hanging="758" w:hangingChars="236"/>
        <w:contextualSpacing/>
        <w:jc w:val="center"/>
        <w:outlineLvl w:val="0"/>
        <w:rPr>
          <w:rFonts w:eastAsia="黑体"/>
          <w:b/>
          <w:bCs/>
          <w:kern w:val="44"/>
          <w:sz w:val="32"/>
          <w:szCs w:val="44"/>
          <w:lang w:val="zh-CN"/>
        </w:rPr>
      </w:pPr>
      <w:bookmarkStart w:id="8" w:name="_Toc17418"/>
      <w:bookmarkStart w:id="9" w:name="_Toc57400457"/>
      <w:r>
        <w:rPr>
          <w:rFonts w:hint="eastAsia" w:eastAsia="黑体"/>
          <w:b/>
          <w:bCs/>
          <w:kern w:val="44"/>
          <w:sz w:val="32"/>
          <w:szCs w:val="44"/>
          <w:lang w:val="zh-CN"/>
        </w:rPr>
        <w:t>建筑专业</w:t>
      </w:r>
      <w:bookmarkEnd w:id="8"/>
      <w:bookmarkEnd w:id="9"/>
    </w:p>
    <w:p>
      <w:pPr>
        <w:keepLines/>
        <w:numPr>
          <w:ilvl w:val="1"/>
          <w:numId w:val="2"/>
        </w:numPr>
        <w:spacing w:before="120" w:line="480" w:lineRule="exact"/>
        <w:ind w:left="0" w:firstLine="0"/>
        <w:contextualSpacing/>
        <w:jc w:val="center"/>
        <w:outlineLvl w:val="1"/>
        <w:rPr>
          <w:rFonts w:ascii="黑体" w:hAnsi="黑体" w:eastAsia="黑体"/>
          <w:b/>
          <w:bCs/>
          <w:sz w:val="28"/>
          <w:szCs w:val="28"/>
          <w:lang w:val="zh-CN"/>
        </w:rPr>
      </w:pPr>
      <w:bookmarkStart w:id="10" w:name="_Toc4612"/>
      <w:r>
        <w:rPr>
          <w:rFonts w:hint="eastAsia" w:ascii="黑体" w:hAnsi="黑体" w:eastAsia="黑体"/>
          <w:b/>
          <w:bCs/>
          <w:sz w:val="28"/>
          <w:szCs w:val="28"/>
          <w:lang w:val="zh-CN"/>
        </w:rPr>
        <w:t>外部环境</w:t>
      </w:r>
      <w:bookmarkEnd w:id="10"/>
    </w:p>
    <w:p>
      <w:pPr>
        <w:spacing w:line="360" w:lineRule="auto"/>
      </w:pPr>
      <w:r>
        <w:rPr>
          <w:rFonts w:hint="eastAsia"/>
        </w:rPr>
        <w:t>2.1.1 住宅小区总平面交通组织设计应安全便捷，宜采用人车分流。</w:t>
      </w:r>
    </w:p>
    <w:p>
      <w:pPr>
        <w:spacing w:line="360" w:lineRule="auto"/>
      </w:pPr>
      <w:r>
        <w:rPr>
          <w:rFonts w:hint="eastAsia"/>
        </w:rPr>
        <w:t>2.1.2</w:t>
      </w:r>
      <w:r>
        <w:t xml:space="preserve"> </w:t>
      </w:r>
      <w:r>
        <w:rPr>
          <w:rFonts w:hint="eastAsia"/>
        </w:rPr>
        <w:t>住宅小区宜合理规划设置访客机动车停车区域，便于外来访客的车辆停放。</w:t>
      </w:r>
    </w:p>
    <w:p>
      <w:pPr>
        <w:spacing w:line="360" w:lineRule="auto"/>
      </w:pPr>
      <w:r>
        <w:rPr>
          <w:rFonts w:hint="eastAsia"/>
        </w:rPr>
        <w:t>2.1.3</w:t>
      </w:r>
      <w:r>
        <w:t xml:space="preserve"> </w:t>
      </w:r>
      <w:r>
        <w:rPr>
          <w:rFonts w:hint="eastAsia"/>
        </w:rPr>
        <w:t>小区主要出入口附近，应设置访客非机动车停车区域。</w:t>
      </w:r>
    </w:p>
    <w:p>
      <w:pPr>
        <w:spacing w:line="360" w:lineRule="auto"/>
      </w:pPr>
      <w:r>
        <w:rPr>
          <w:rFonts w:hint="eastAsia"/>
        </w:rPr>
        <w:t>2.1.4</w:t>
      </w:r>
      <w:r>
        <w:t xml:space="preserve"> </w:t>
      </w:r>
      <w:r>
        <w:rPr>
          <w:rFonts w:hint="eastAsia"/>
        </w:rPr>
        <w:t>应根据小区规划布局，在小区主要出入口、单元门厅或临近小区主要通道等位置附近设置智能信报箱（群）、快递柜。</w:t>
      </w:r>
    </w:p>
    <w:p>
      <w:pPr>
        <w:spacing w:line="480" w:lineRule="exact"/>
      </w:pPr>
      <w:r>
        <w:rPr>
          <w:rFonts w:hint="eastAsia"/>
        </w:rPr>
        <w:t>2.1.5</w:t>
      </w:r>
      <w:r>
        <w:t xml:space="preserve"> </w:t>
      </w:r>
      <w:r>
        <w:rPr>
          <w:rFonts w:hint="eastAsia"/>
        </w:rPr>
        <w:t>出地面风井靠近住宅窗口一侧墙面不应开设百叶。</w:t>
      </w:r>
    </w:p>
    <w:p>
      <w:pPr>
        <w:pStyle w:val="43"/>
        <w:spacing w:beforeLines="0" w:afterLines="0" w:line="480" w:lineRule="exact"/>
        <w:jc w:val="both"/>
        <w:outlineLvl w:val="9"/>
        <w:rPr>
          <w:rFonts w:ascii="宋体" w:hAnsi="宋体"/>
          <w:sz w:val="24"/>
          <w:szCs w:val="24"/>
          <w:highlight w:val="yellow"/>
        </w:rPr>
      </w:pPr>
    </w:p>
    <w:p>
      <w:pPr>
        <w:keepLines/>
        <w:numPr>
          <w:ilvl w:val="1"/>
          <w:numId w:val="2"/>
        </w:numPr>
        <w:spacing w:before="120" w:line="480" w:lineRule="exact"/>
        <w:ind w:left="992"/>
        <w:contextualSpacing/>
        <w:jc w:val="center"/>
        <w:outlineLvl w:val="1"/>
        <w:rPr>
          <w:rFonts w:ascii="黑体" w:hAnsi="黑体" w:eastAsia="黑体"/>
          <w:b/>
          <w:bCs/>
          <w:sz w:val="28"/>
          <w:szCs w:val="28"/>
          <w:lang w:val="zh-CN"/>
        </w:rPr>
      </w:pPr>
      <w:bookmarkStart w:id="11" w:name="_Toc13300"/>
      <w:r>
        <w:rPr>
          <w:rFonts w:hint="eastAsia" w:ascii="黑体" w:hAnsi="黑体" w:eastAsia="黑体"/>
          <w:b/>
          <w:bCs/>
          <w:sz w:val="28"/>
          <w:szCs w:val="28"/>
          <w:lang w:val="zh-CN"/>
        </w:rPr>
        <w:t>住宅基本要求</w:t>
      </w:r>
      <w:bookmarkEnd w:id="11"/>
    </w:p>
    <w:p>
      <w:pPr>
        <w:pStyle w:val="50"/>
        <w:ind w:firstLine="0" w:firstLineChars="0"/>
      </w:pPr>
      <w:r>
        <w:rPr>
          <w:rFonts w:hint="eastAsia"/>
        </w:rPr>
        <w:t>2.2.1 设有户式中央空调及集中新风或地暖系统的住宅，层高不应小于2.90m，不应高于3.60m。</w:t>
      </w:r>
    </w:p>
    <w:p>
      <w:pPr>
        <w:spacing w:line="480" w:lineRule="exact"/>
      </w:pPr>
      <w:r>
        <w:rPr>
          <w:rFonts w:hint="eastAsia"/>
        </w:rPr>
        <w:t>2.2.2</w:t>
      </w:r>
      <w:r>
        <w:t xml:space="preserve"> </w:t>
      </w:r>
      <w:r>
        <w:rPr>
          <w:rFonts w:hint="eastAsia"/>
        </w:rPr>
        <w:t>每套住宅应至少设置1间双人卧室或兼起居的卧室。</w:t>
      </w:r>
    </w:p>
    <w:p>
      <w:pPr>
        <w:spacing w:line="480" w:lineRule="exact"/>
      </w:pPr>
      <w:r>
        <w:rPr>
          <w:rFonts w:hint="eastAsia"/>
        </w:rPr>
        <w:t>2.2.3</w:t>
      </w:r>
      <w:r>
        <w:t xml:space="preserve"> </w:t>
      </w:r>
      <w:r>
        <w:rPr>
          <w:rFonts w:hint="eastAsia"/>
        </w:rPr>
        <w:t>住宅中“书房”等类似功能名称的房间，应视同于卧室，不得紧邻电梯布置。</w:t>
      </w:r>
    </w:p>
    <w:p>
      <w:pPr>
        <w:spacing w:line="480" w:lineRule="exact"/>
      </w:pPr>
      <w:r>
        <w:rPr>
          <w:rFonts w:hint="eastAsia"/>
        </w:rPr>
        <w:t>2.2.4</w:t>
      </w:r>
      <w:r>
        <w:t xml:space="preserve"> </w:t>
      </w:r>
      <w:r>
        <w:rPr>
          <w:rFonts w:hint="eastAsia"/>
        </w:rPr>
        <w:t>电梯井道与住宅</w:t>
      </w:r>
      <w:bookmarkStart w:id="12" w:name="_Hlk59010021"/>
      <w:r>
        <w:rPr>
          <w:rFonts w:hint="eastAsia"/>
        </w:rPr>
        <w:t>户内其他房间（空间）</w:t>
      </w:r>
      <w:bookmarkEnd w:id="12"/>
      <w:r>
        <w:rPr>
          <w:rFonts w:hint="eastAsia"/>
        </w:rPr>
        <w:t>相邻时，电梯井壁、电梯设备、电梯机房均应采取有效的隔声减振措施。</w:t>
      </w:r>
    </w:p>
    <w:p>
      <w:pPr>
        <w:spacing w:line="480" w:lineRule="exact"/>
        <w:rPr>
          <w:sz w:val="21"/>
          <w:szCs w:val="21"/>
        </w:rPr>
      </w:pPr>
      <w:bookmarkStart w:id="13" w:name="_Toc57400467"/>
      <w:r>
        <w:rPr>
          <w:rFonts w:hint="eastAsia"/>
        </w:rPr>
        <w:t>2.2.5</w:t>
      </w:r>
      <w:r>
        <w:t xml:space="preserve"> </w:t>
      </w:r>
      <w:r>
        <w:rPr>
          <w:rFonts w:hint="eastAsia"/>
        </w:rPr>
        <w:t>住宅套型入口宜设过渡空间（玄关），满足通行、收纳等功能，同时可作为入户停留进行简单清洁、消毒的空间。</w:t>
      </w:r>
      <w:bookmarkEnd w:id="13"/>
    </w:p>
    <w:p>
      <w:pPr>
        <w:spacing w:line="480" w:lineRule="exact"/>
        <w:rPr>
          <w:sz w:val="16"/>
          <w:szCs w:val="16"/>
        </w:rPr>
      </w:pPr>
      <w:bookmarkStart w:id="14" w:name="_Toc57400469"/>
      <w:r>
        <w:rPr>
          <w:rFonts w:hint="eastAsia"/>
        </w:rPr>
        <w:t>2.2.6</w:t>
      </w:r>
      <w:r>
        <w:t xml:space="preserve"> </w:t>
      </w:r>
      <w:r>
        <w:rPr>
          <w:rFonts w:hint="eastAsia"/>
        </w:rPr>
        <w:t>高层住宅低窗、凸窗、厨房等外窗优先采用推拉窗，推拉窗的气密性等各项技术指标应符合相应规范要求。</w:t>
      </w:r>
      <w:bookmarkEnd w:id="14"/>
    </w:p>
    <w:p>
      <w:pPr>
        <w:spacing w:line="480" w:lineRule="exact"/>
        <w:rPr>
          <w:sz w:val="18"/>
          <w:szCs w:val="18"/>
        </w:rPr>
      </w:pPr>
      <w:bookmarkStart w:id="15" w:name="_Toc57400471"/>
      <w:r>
        <w:rPr>
          <w:rFonts w:hint="eastAsia"/>
        </w:rPr>
        <w:t>2.2.7</w:t>
      </w:r>
      <w:r>
        <w:t xml:space="preserve"> </w:t>
      </w:r>
      <w:r>
        <w:rPr>
          <w:rFonts w:hint="eastAsia"/>
        </w:rPr>
        <w:t>当住宅外窗设置内开启扇时，应避免影响室内设施设备的设置。</w:t>
      </w:r>
      <w:bookmarkEnd w:id="15"/>
    </w:p>
    <w:p>
      <w:pPr>
        <w:spacing w:line="480" w:lineRule="exact"/>
      </w:pPr>
      <w:bookmarkStart w:id="16" w:name="_Toc57400473"/>
      <w:r>
        <w:rPr>
          <w:rFonts w:hint="eastAsia"/>
        </w:rPr>
        <w:t>2.2.8</w:t>
      </w:r>
      <w:r>
        <w:t xml:space="preserve"> </w:t>
      </w:r>
      <w:r>
        <w:rPr>
          <w:rFonts w:hint="eastAsia"/>
        </w:rPr>
        <w:t>设置两个及以上卫生间的户型，其中一个卫生间宜能设置浴缸。</w:t>
      </w:r>
      <w:bookmarkEnd w:id="16"/>
    </w:p>
    <w:p>
      <w:pPr>
        <w:pStyle w:val="43"/>
        <w:spacing w:beforeLines="0" w:afterLines="0" w:line="480" w:lineRule="exact"/>
        <w:jc w:val="both"/>
        <w:outlineLvl w:val="9"/>
        <w:rPr>
          <w:rFonts w:asciiTheme="minorEastAsia" w:hAnsiTheme="minorEastAsia" w:eastAsiaTheme="minorEastAsia"/>
          <w:b w:val="0"/>
          <w:sz w:val="15"/>
          <w:szCs w:val="15"/>
        </w:rPr>
      </w:pPr>
      <w:bookmarkStart w:id="17" w:name="_Toc57400475"/>
      <w:bookmarkStart w:id="18" w:name="_Toc5179"/>
      <w:r>
        <w:rPr>
          <w:rFonts w:hint="eastAsia"/>
          <w:b w:val="0"/>
          <w:bCs w:val="0"/>
          <w:sz w:val="24"/>
          <w:szCs w:val="24"/>
        </w:rPr>
        <w:t>2.2.9</w:t>
      </w:r>
      <w:r>
        <w:rPr>
          <w:b w:val="0"/>
          <w:bCs w:val="0"/>
          <w:sz w:val="24"/>
          <w:szCs w:val="24"/>
        </w:rPr>
        <w:t xml:space="preserve"> </w:t>
      </w:r>
      <w:r>
        <w:rPr>
          <w:rFonts w:asciiTheme="minorEastAsia" w:hAnsiTheme="minorEastAsia" w:eastAsiaTheme="minorEastAsia"/>
          <w:b w:val="0"/>
          <w:sz w:val="24"/>
          <w:szCs w:val="24"/>
        </w:rPr>
        <w:t>卫生间</w:t>
      </w:r>
      <w:r>
        <w:rPr>
          <w:rFonts w:hint="eastAsia" w:asciiTheme="minorEastAsia" w:hAnsiTheme="minorEastAsia" w:eastAsiaTheme="minorEastAsia"/>
          <w:b w:val="0"/>
          <w:sz w:val="24"/>
          <w:szCs w:val="24"/>
        </w:rPr>
        <w:t>应</w:t>
      </w:r>
      <w:r>
        <w:rPr>
          <w:rFonts w:asciiTheme="minorEastAsia" w:hAnsiTheme="minorEastAsia" w:eastAsiaTheme="minorEastAsia"/>
          <w:b w:val="0"/>
          <w:sz w:val="24"/>
          <w:szCs w:val="24"/>
        </w:rPr>
        <w:t>在坐便器和淋浴位置的墙面或地面预留安装扶手的空间。</w:t>
      </w:r>
      <w:bookmarkEnd w:id="17"/>
      <w:bookmarkEnd w:id="18"/>
    </w:p>
    <w:p>
      <w:pPr>
        <w:pStyle w:val="43"/>
        <w:spacing w:beforeLines="0" w:afterLines="0" w:line="480" w:lineRule="exact"/>
        <w:jc w:val="both"/>
        <w:outlineLvl w:val="9"/>
        <w:rPr>
          <w:rFonts w:asciiTheme="minorEastAsia" w:hAnsiTheme="minorEastAsia" w:eastAsiaTheme="minorEastAsia"/>
          <w:b w:val="0"/>
          <w:sz w:val="24"/>
          <w:szCs w:val="24"/>
        </w:rPr>
      </w:pPr>
      <w:bookmarkStart w:id="19" w:name="_Toc57400477"/>
      <w:bookmarkStart w:id="20" w:name="_Toc3141"/>
      <w:r>
        <w:rPr>
          <w:rFonts w:hint="eastAsia"/>
          <w:b w:val="0"/>
          <w:bCs w:val="0"/>
          <w:sz w:val="24"/>
          <w:szCs w:val="24"/>
        </w:rPr>
        <w:t>2.2.10</w:t>
      </w:r>
      <w:r>
        <w:rPr>
          <w:b w:val="0"/>
          <w:bCs w:val="0"/>
          <w:sz w:val="24"/>
          <w:szCs w:val="24"/>
        </w:rPr>
        <w:t xml:space="preserve"> </w:t>
      </w:r>
      <w:r>
        <w:rPr>
          <w:rFonts w:hint="eastAsia" w:asciiTheme="minorEastAsia" w:hAnsiTheme="minorEastAsia" w:eastAsiaTheme="minorEastAsia"/>
          <w:b w:val="0"/>
          <w:sz w:val="24"/>
          <w:szCs w:val="24"/>
        </w:rPr>
        <w:t>当住宅卫生间采用轻质隔墙（墙板）时，内墙面应进行整体防水设计。</w:t>
      </w:r>
      <w:bookmarkEnd w:id="19"/>
      <w:bookmarkEnd w:id="20"/>
    </w:p>
    <w:p>
      <w:pPr>
        <w:pStyle w:val="43"/>
        <w:spacing w:beforeLines="0" w:afterLines="0" w:line="480" w:lineRule="exact"/>
        <w:jc w:val="both"/>
        <w:outlineLvl w:val="9"/>
        <w:rPr>
          <w:b w:val="0"/>
          <w:bCs w:val="0"/>
          <w:sz w:val="24"/>
          <w:szCs w:val="24"/>
        </w:rPr>
      </w:pPr>
      <w:bookmarkStart w:id="21" w:name="_Toc57400479"/>
      <w:bookmarkStart w:id="22" w:name="_Toc18747"/>
      <w:r>
        <w:rPr>
          <w:rFonts w:hint="eastAsia"/>
          <w:b w:val="0"/>
          <w:bCs w:val="0"/>
          <w:sz w:val="24"/>
          <w:szCs w:val="24"/>
        </w:rPr>
        <w:t>2.2.11</w:t>
      </w:r>
      <w:r>
        <w:rPr>
          <w:b w:val="0"/>
          <w:bCs w:val="0"/>
          <w:sz w:val="24"/>
          <w:szCs w:val="24"/>
        </w:rPr>
        <w:t xml:space="preserve"> </w:t>
      </w:r>
      <w:r>
        <w:rPr>
          <w:rFonts w:hint="eastAsia"/>
          <w:b w:val="0"/>
          <w:bCs w:val="0"/>
          <w:sz w:val="24"/>
          <w:szCs w:val="24"/>
        </w:rPr>
        <w:t>首层、屋顶层以及人员可通达处的地下室天窗、天井、出地面风井、出屋面排气道等临空开口部位，均应按照临空部位采取防护措施。</w:t>
      </w:r>
      <w:bookmarkEnd w:id="21"/>
      <w:bookmarkEnd w:id="22"/>
    </w:p>
    <w:p>
      <w:pPr>
        <w:spacing w:line="480" w:lineRule="exact"/>
        <w:rPr>
          <w:rFonts w:asciiTheme="minorEastAsia" w:hAnsiTheme="minorEastAsia" w:eastAsiaTheme="minorEastAsia"/>
        </w:rPr>
      </w:pPr>
      <w:bookmarkStart w:id="23" w:name="_Toc57400481"/>
      <w:r>
        <w:rPr>
          <w:rFonts w:hint="eastAsia"/>
        </w:rPr>
        <w:t>2.2.12</w:t>
      </w:r>
      <w:r>
        <w:t xml:space="preserve"> </w:t>
      </w:r>
      <w:r>
        <w:rPr>
          <w:rFonts w:hint="eastAsia"/>
        </w:rPr>
        <w:t>住宅建筑的公共出入口及平台、公共走廊、电梯门厅的楼地面等应设置防滑措施，防滑等级不低于《建筑地面工程防滑技术规程》JGJ/T331规定的B</w:t>
      </w:r>
      <w:r>
        <w:t>d</w:t>
      </w:r>
      <w:r>
        <w:rPr>
          <w:rFonts w:hint="eastAsia"/>
        </w:rPr>
        <w:t>、Bw级。</w:t>
      </w:r>
      <w:bookmarkEnd w:id="23"/>
    </w:p>
    <w:p>
      <w:pPr>
        <w:spacing w:line="480" w:lineRule="exact"/>
      </w:pPr>
      <w:bookmarkStart w:id="24" w:name="_Toc57400483"/>
      <w:r>
        <w:rPr>
          <w:rFonts w:hint="eastAsia"/>
        </w:rPr>
        <w:t>2.2.13</w:t>
      </w:r>
      <w:r>
        <w:t xml:space="preserve"> </w:t>
      </w:r>
      <w:r>
        <w:rPr>
          <w:rFonts w:hint="eastAsia"/>
        </w:rPr>
        <w:t>建筑坡道、楼梯踏步防滑等级应达到《建筑地面工程防滑技术规程》JGJ/T331规定的A</w:t>
      </w:r>
      <w:r>
        <w:t>d</w:t>
      </w:r>
      <w:r>
        <w:rPr>
          <w:rFonts w:hint="eastAsia"/>
        </w:rPr>
        <w:t>、Aw级或按水平地面等级提高一级，并采用防滑条等防滑构造技术措施。</w:t>
      </w:r>
      <w:bookmarkEnd w:id="24"/>
    </w:p>
    <w:p>
      <w:pPr>
        <w:pStyle w:val="43"/>
        <w:spacing w:beforeLines="0" w:afterLines="0" w:line="480" w:lineRule="exact"/>
        <w:jc w:val="both"/>
        <w:outlineLvl w:val="9"/>
        <w:rPr>
          <w:b w:val="0"/>
          <w:bCs w:val="0"/>
          <w:sz w:val="24"/>
          <w:szCs w:val="24"/>
        </w:rPr>
      </w:pPr>
      <w:bookmarkStart w:id="25" w:name="_Toc57400485"/>
      <w:bookmarkStart w:id="26" w:name="_Toc17285"/>
      <w:r>
        <w:rPr>
          <w:rFonts w:hint="eastAsia"/>
          <w:b w:val="0"/>
          <w:bCs w:val="0"/>
          <w:sz w:val="24"/>
          <w:szCs w:val="24"/>
        </w:rPr>
        <w:t>2.2.14</w:t>
      </w:r>
      <w:r>
        <w:rPr>
          <w:b w:val="0"/>
          <w:bCs w:val="0"/>
          <w:sz w:val="24"/>
          <w:szCs w:val="24"/>
        </w:rPr>
        <w:t xml:space="preserve"> </w:t>
      </w:r>
      <w:r>
        <w:rPr>
          <w:rFonts w:hint="eastAsia"/>
          <w:b w:val="0"/>
          <w:bCs w:val="0"/>
          <w:sz w:val="24"/>
          <w:szCs w:val="24"/>
        </w:rPr>
        <w:t>外墙装饰材料及构件与主体结构的连接必须安全牢固。</w:t>
      </w:r>
      <w:bookmarkEnd w:id="25"/>
      <w:bookmarkEnd w:id="26"/>
    </w:p>
    <w:p>
      <w:pPr>
        <w:pStyle w:val="43"/>
        <w:spacing w:beforeLines="0" w:afterLines="0" w:line="480" w:lineRule="exact"/>
        <w:jc w:val="both"/>
        <w:outlineLvl w:val="9"/>
        <w:rPr>
          <w:b w:val="0"/>
          <w:bCs w:val="0"/>
          <w:sz w:val="24"/>
          <w:szCs w:val="24"/>
        </w:rPr>
      </w:pPr>
      <w:bookmarkStart w:id="27" w:name="_Toc57400487"/>
      <w:bookmarkStart w:id="28" w:name="_Toc14118"/>
      <w:r>
        <w:rPr>
          <w:rFonts w:hint="eastAsia"/>
          <w:b w:val="0"/>
          <w:bCs w:val="0"/>
          <w:sz w:val="24"/>
          <w:szCs w:val="24"/>
        </w:rPr>
        <w:t>2.2.15</w:t>
      </w:r>
      <w:r>
        <w:rPr>
          <w:b w:val="0"/>
          <w:bCs w:val="0"/>
          <w:sz w:val="24"/>
          <w:szCs w:val="24"/>
        </w:rPr>
        <w:t xml:space="preserve"> </w:t>
      </w:r>
      <w:r>
        <w:rPr>
          <w:rFonts w:hint="eastAsia"/>
          <w:b w:val="0"/>
          <w:bCs w:val="0"/>
          <w:sz w:val="24"/>
          <w:szCs w:val="24"/>
        </w:rPr>
        <w:t>高层住宅应至少有一部公共电梯及楼梯间经封闭空间与户门相连, 以方便住户日常生活和雨雪天气通行安全。</w:t>
      </w:r>
      <w:bookmarkEnd w:id="27"/>
      <w:bookmarkEnd w:id="28"/>
    </w:p>
    <w:p>
      <w:pPr>
        <w:pStyle w:val="43"/>
        <w:spacing w:beforeLines="0" w:afterLines="0" w:line="480" w:lineRule="exact"/>
        <w:jc w:val="both"/>
        <w:outlineLvl w:val="9"/>
        <w:rPr>
          <w:rFonts w:asciiTheme="minorEastAsia" w:hAnsiTheme="minorEastAsia" w:eastAsiaTheme="minorEastAsia"/>
          <w:sz w:val="13"/>
          <w:szCs w:val="13"/>
        </w:rPr>
      </w:pPr>
      <w:bookmarkStart w:id="29" w:name="_Toc16498"/>
      <w:bookmarkStart w:id="30" w:name="_Toc57400489"/>
      <w:r>
        <w:rPr>
          <w:rFonts w:hint="eastAsia"/>
          <w:b w:val="0"/>
          <w:bCs w:val="0"/>
          <w:sz w:val="24"/>
          <w:szCs w:val="24"/>
        </w:rPr>
        <w:t>2.2.16 建筑的屋面、地下室、半地下室等位置必须进行防水设计。防水设计应遵循“防、排、截、堵相结合，刚柔相济、因地制宜”的设计原则，根据建筑造型、使用功能、环境条件合理选材并制定方案。</w:t>
      </w:r>
      <w:bookmarkEnd w:id="29"/>
      <w:bookmarkEnd w:id="30"/>
    </w:p>
    <w:p>
      <w:pPr>
        <w:pStyle w:val="43"/>
        <w:spacing w:beforeLines="0" w:afterLines="0" w:line="480" w:lineRule="exact"/>
        <w:jc w:val="both"/>
        <w:outlineLvl w:val="9"/>
        <w:rPr>
          <w:rFonts w:asciiTheme="minorEastAsia" w:hAnsiTheme="minorEastAsia" w:eastAsiaTheme="minorEastAsia"/>
          <w:sz w:val="13"/>
          <w:szCs w:val="13"/>
        </w:rPr>
      </w:pPr>
    </w:p>
    <w:p>
      <w:pPr>
        <w:keepLines/>
        <w:numPr>
          <w:ilvl w:val="1"/>
          <w:numId w:val="2"/>
        </w:numPr>
        <w:spacing w:before="120" w:line="480" w:lineRule="exact"/>
        <w:ind w:left="992"/>
        <w:contextualSpacing/>
        <w:jc w:val="center"/>
        <w:outlineLvl w:val="1"/>
        <w:rPr>
          <w:rFonts w:ascii="黑体" w:hAnsi="黑体" w:eastAsia="黑体"/>
          <w:b/>
          <w:bCs/>
          <w:sz w:val="28"/>
          <w:szCs w:val="28"/>
          <w:lang w:val="zh-CN"/>
        </w:rPr>
      </w:pPr>
      <w:bookmarkStart w:id="31" w:name="_Toc1641"/>
      <w:r>
        <w:rPr>
          <w:rFonts w:hint="eastAsia" w:ascii="黑体" w:hAnsi="黑体" w:eastAsia="黑体"/>
          <w:b/>
          <w:bCs/>
          <w:sz w:val="28"/>
          <w:szCs w:val="28"/>
          <w:lang w:val="zh-CN"/>
        </w:rPr>
        <w:t>车库</w:t>
      </w:r>
      <w:bookmarkEnd w:id="31"/>
    </w:p>
    <w:p>
      <w:pPr>
        <w:pStyle w:val="43"/>
        <w:spacing w:beforeLines="0" w:afterLines="0" w:line="480" w:lineRule="exact"/>
        <w:jc w:val="both"/>
        <w:outlineLvl w:val="9"/>
        <w:rPr>
          <w:b w:val="0"/>
          <w:bCs w:val="0"/>
          <w:sz w:val="24"/>
          <w:szCs w:val="24"/>
        </w:rPr>
      </w:pPr>
      <w:bookmarkStart w:id="32" w:name="_Toc57400491"/>
      <w:bookmarkStart w:id="33" w:name="_Toc10220"/>
      <w:r>
        <w:rPr>
          <w:rFonts w:hint="eastAsia"/>
          <w:b w:val="0"/>
          <w:bCs w:val="0"/>
          <w:sz w:val="24"/>
          <w:szCs w:val="24"/>
        </w:rPr>
        <w:t>2.3.1 地下机动车库坡道不应贴邻住宅建筑。</w:t>
      </w:r>
      <w:bookmarkEnd w:id="32"/>
      <w:bookmarkEnd w:id="33"/>
    </w:p>
    <w:p>
      <w:pPr>
        <w:pStyle w:val="43"/>
        <w:spacing w:beforeLines="0" w:afterLines="0" w:line="480" w:lineRule="exact"/>
        <w:jc w:val="both"/>
        <w:outlineLvl w:val="9"/>
        <w:rPr>
          <w:rFonts w:asciiTheme="minorEastAsia" w:hAnsiTheme="minorEastAsia" w:eastAsiaTheme="minorEastAsia"/>
          <w:sz w:val="10"/>
          <w:szCs w:val="10"/>
        </w:rPr>
      </w:pPr>
      <w:bookmarkStart w:id="34" w:name="_Toc8229"/>
      <w:bookmarkStart w:id="35" w:name="_Toc57400493"/>
      <w:r>
        <w:rPr>
          <w:rFonts w:hint="eastAsia"/>
          <w:b w:val="0"/>
          <w:bCs w:val="0"/>
          <w:sz w:val="24"/>
          <w:szCs w:val="24"/>
        </w:rPr>
        <w:t>2.3.2住宅小区汽车库内不应设置机械车位。汽车库内停放小型机动车车位尺寸不宜小于2.5</w:t>
      </w:r>
      <w:r>
        <w:rPr>
          <w:b w:val="0"/>
          <w:bCs w:val="0"/>
          <w:sz w:val="24"/>
          <w:szCs w:val="24"/>
        </w:rPr>
        <w:t>mx5.3m</w:t>
      </w:r>
      <w:r>
        <w:rPr>
          <w:rFonts w:hint="eastAsia"/>
          <w:b w:val="0"/>
          <w:bCs w:val="0"/>
          <w:sz w:val="24"/>
          <w:szCs w:val="24"/>
        </w:rPr>
        <w:t>。</w:t>
      </w:r>
      <w:bookmarkEnd w:id="34"/>
      <w:bookmarkEnd w:id="35"/>
    </w:p>
    <w:p>
      <w:pPr>
        <w:pStyle w:val="43"/>
        <w:spacing w:beforeLines="0" w:afterLines="0" w:line="480" w:lineRule="exact"/>
        <w:jc w:val="both"/>
        <w:outlineLvl w:val="9"/>
        <w:rPr>
          <w:b w:val="0"/>
          <w:bCs w:val="0"/>
          <w:sz w:val="24"/>
          <w:szCs w:val="24"/>
        </w:rPr>
      </w:pPr>
      <w:bookmarkStart w:id="36" w:name="_Toc1764"/>
      <w:bookmarkStart w:id="37" w:name="_Toc57400495"/>
      <w:r>
        <w:rPr>
          <w:rFonts w:hint="eastAsia"/>
          <w:b w:val="0"/>
          <w:bCs w:val="0"/>
          <w:sz w:val="24"/>
          <w:szCs w:val="24"/>
        </w:rPr>
        <w:t>2.3.3住宅小区汽车库内部车道宜为环形车道。当必须设置尽端式车道时，车道长度不应大于30m，且尽端处停车位应预留回转空间。</w:t>
      </w:r>
      <w:bookmarkEnd w:id="36"/>
      <w:bookmarkEnd w:id="37"/>
    </w:p>
    <w:p>
      <w:pPr>
        <w:pStyle w:val="43"/>
        <w:spacing w:beforeLines="0" w:afterLines="0" w:line="480" w:lineRule="exact"/>
        <w:jc w:val="both"/>
        <w:outlineLvl w:val="9"/>
        <w:rPr>
          <w:b w:val="0"/>
          <w:bCs w:val="0"/>
          <w:sz w:val="24"/>
          <w:szCs w:val="24"/>
        </w:rPr>
      </w:pPr>
      <w:bookmarkStart w:id="38" w:name="_Toc57400497"/>
      <w:bookmarkStart w:id="39" w:name="_Toc13556"/>
      <w:r>
        <w:rPr>
          <w:rFonts w:hint="eastAsia"/>
          <w:b w:val="0"/>
          <w:bCs w:val="0"/>
          <w:sz w:val="24"/>
          <w:szCs w:val="24"/>
        </w:rPr>
        <w:t>2.3.4</w:t>
      </w:r>
      <w:r>
        <w:rPr>
          <w:b w:val="0"/>
          <w:bCs w:val="0"/>
          <w:sz w:val="24"/>
          <w:szCs w:val="24"/>
        </w:rPr>
        <w:t>当住宅地下室功能为汽车库时，</w:t>
      </w:r>
      <w:r>
        <w:rPr>
          <w:rFonts w:hint="eastAsia"/>
          <w:b w:val="0"/>
          <w:bCs w:val="0"/>
          <w:sz w:val="24"/>
          <w:szCs w:val="24"/>
        </w:rPr>
        <w:t>住宅各</w:t>
      </w:r>
      <w:r>
        <w:rPr>
          <w:b w:val="0"/>
          <w:bCs w:val="0"/>
          <w:sz w:val="24"/>
          <w:szCs w:val="24"/>
        </w:rPr>
        <w:t>单元</w:t>
      </w:r>
      <w:r>
        <w:rPr>
          <w:rFonts w:hint="eastAsia"/>
          <w:b w:val="0"/>
          <w:bCs w:val="0"/>
          <w:sz w:val="24"/>
          <w:szCs w:val="24"/>
        </w:rPr>
        <w:t>的电梯应均能到达</w:t>
      </w:r>
      <w:r>
        <w:rPr>
          <w:b w:val="0"/>
          <w:bCs w:val="0"/>
          <w:sz w:val="24"/>
          <w:szCs w:val="24"/>
        </w:rPr>
        <w:t>该层</w:t>
      </w:r>
      <w:r>
        <w:rPr>
          <w:rFonts w:hint="eastAsia"/>
          <w:b w:val="0"/>
          <w:bCs w:val="0"/>
          <w:sz w:val="24"/>
          <w:szCs w:val="24"/>
        </w:rPr>
        <w:t>；地下室的单元入户处也应考虑无障碍设计</w:t>
      </w:r>
      <w:r>
        <w:rPr>
          <w:b w:val="0"/>
          <w:bCs w:val="0"/>
          <w:sz w:val="24"/>
          <w:szCs w:val="24"/>
        </w:rPr>
        <w:t>。</w:t>
      </w:r>
      <w:bookmarkEnd w:id="38"/>
      <w:bookmarkEnd w:id="39"/>
    </w:p>
    <w:p>
      <w:pPr>
        <w:pStyle w:val="43"/>
        <w:spacing w:beforeLines="0" w:afterLines="0" w:line="480" w:lineRule="exact"/>
        <w:jc w:val="both"/>
        <w:outlineLvl w:val="9"/>
        <w:rPr>
          <w:rFonts w:asciiTheme="minorEastAsia" w:hAnsiTheme="minorEastAsia" w:eastAsiaTheme="minorEastAsia"/>
          <w:sz w:val="13"/>
          <w:szCs w:val="13"/>
        </w:rPr>
      </w:pPr>
      <w:bookmarkStart w:id="40" w:name="_Toc25149"/>
      <w:bookmarkStart w:id="41" w:name="_Toc57400499"/>
      <w:r>
        <w:rPr>
          <w:rFonts w:hint="eastAsia"/>
          <w:b w:val="0"/>
          <w:bCs w:val="0"/>
          <w:sz w:val="24"/>
          <w:szCs w:val="24"/>
        </w:rPr>
        <w:t>2.3.5地下非机动车库应按照电动自行车停放场所要求进行设计，并宜按楼栋分别设置。</w:t>
      </w:r>
      <w:bookmarkEnd w:id="40"/>
      <w:bookmarkEnd w:id="41"/>
    </w:p>
    <w:p>
      <w:pPr>
        <w:pStyle w:val="43"/>
        <w:spacing w:beforeLines="0" w:afterLines="0" w:line="480" w:lineRule="exact"/>
        <w:jc w:val="both"/>
        <w:outlineLvl w:val="9"/>
        <w:rPr>
          <w:b w:val="0"/>
          <w:bCs w:val="0"/>
          <w:sz w:val="24"/>
          <w:szCs w:val="24"/>
        </w:rPr>
      </w:pPr>
      <w:bookmarkStart w:id="42" w:name="_Toc1228"/>
      <w:bookmarkStart w:id="43" w:name="_Toc57400501"/>
      <w:r>
        <w:rPr>
          <w:rFonts w:hint="eastAsia"/>
          <w:b w:val="0"/>
          <w:bCs w:val="0"/>
          <w:sz w:val="24"/>
          <w:szCs w:val="24"/>
        </w:rPr>
        <w:t>2.3.6</w:t>
      </w:r>
      <w:r>
        <w:rPr>
          <w:b w:val="0"/>
          <w:bCs w:val="0"/>
          <w:sz w:val="24"/>
          <w:szCs w:val="24"/>
        </w:rPr>
        <w:t xml:space="preserve"> </w:t>
      </w:r>
      <w:r>
        <w:rPr>
          <w:rFonts w:hint="eastAsia"/>
          <w:b w:val="0"/>
          <w:bCs w:val="0"/>
          <w:sz w:val="24"/>
          <w:szCs w:val="24"/>
        </w:rPr>
        <w:t>电动汽车停车场（库）设计应符合国家及省市相关设计规范、文件要求。</w:t>
      </w:r>
      <w:bookmarkEnd w:id="42"/>
      <w:bookmarkEnd w:id="43"/>
    </w:p>
    <w:p>
      <w:pPr>
        <w:pStyle w:val="43"/>
        <w:spacing w:beforeLines="0" w:afterLines="0" w:line="480" w:lineRule="exact"/>
        <w:ind w:firstLine="480" w:firstLineChars="200"/>
        <w:jc w:val="left"/>
        <w:outlineLvl w:val="9"/>
        <w:rPr>
          <w:rFonts w:ascii="楷体" w:hAnsi="楷体" w:eastAsia="楷体"/>
          <w:b w:val="0"/>
          <w:bCs w:val="0"/>
          <w:sz w:val="24"/>
          <w:szCs w:val="22"/>
        </w:rPr>
      </w:pPr>
    </w:p>
    <w:p>
      <w:pPr>
        <w:pStyle w:val="43"/>
        <w:spacing w:beforeLines="0" w:afterLines="0" w:line="480" w:lineRule="exact"/>
        <w:jc w:val="left"/>
        <w:outlineLvl w:val="9"/>
        <w:rPr>
          <w:rFonts w:ascii="宋体" w:hAnsi="宋体"/>
          <w:b w:val="0"/>
          <w:bCs w:val="0"/>
          <w:sz w:val="22"/>
          <w:szCs w:val="22"/>
        </w:rPr>
      </w:pPr>
    </w:p>
    <w:p>
      <w:pPr>
        <w:pStyle w:val="43"/>
        <w:spacing w:beforeLines="0" w:afterLines="0" w:line="480" w:lineRule="exact"/>
        <w:jc w:val="left"/>
        <w:outlineLvl w:val="9"/>
        <w:rPr>
          <w:rFonts w:ascii="宋体" w:hAnsi="宋体"/>
          <w:b w:val="0"/>
          <w:bCs w:val="0"/>
          <w:sz w:val="22"/>
          <w:szCs w:val="22"/>
        </w:rPr>
      </w:pPr>
    </w:p>
    <w:p>
      <w:pPr>
        <w:pStyle w:val="43"/>
        <w:spacing w:beforeLines="0" w:afterLines="0" w:line="480" w:lineRule="exact"/>
        <w:jc w:val="left"/>
        <w:outlineLvl w:val="9"/>
        <w:rPr>
          <w:rFonts w:ascii="宋体" w:hAnsi="宋体"/>
          <w:b w:val="0"/>
          <w:bCs w:val="0"/>
          <w:sz w:val="22"/>
          <w:szCs w:val="22"/>
        </w:rPr>
      </w:pPr>
    </w:p>
    <w:p>
      <w:pPr>
        <w:pStyle w:val="43"/>
        <w:spacing w:beforeLines="0" w:afterLines="0" w:line="480" w:lineRule="exact"/>
        <w:jc w:val="left"/>
        <w:outlineLvl w:val="9"/>
        <w:rPr>
          <w:rFonts w:ascii="宋体" w:hAnsi="宋体"/>
          <w:b w:val="0"/>
          <w:bCs w:val="0"/>
          <w:sz w:val="22"/>
          <w:szCs w:val="22"/>
        </w:rPr>
      </w:pPr>
    </w:p>
    <w:p>
      <w:pPr>
        <w:pStyle w:val="43"/>
        <w:spacing w:beforeLines="0" w:afterLines="0" w:line="480" w:lineRule="exact"/>
        <w:jc w:val="left"/>
        <w:outlineLvl w:val="9"/>
        <w:rPr>
          <w:rFonts w:ascii="宋体" w:hAnsi="宋体"/>
          <w:b w:val="0"/>
          <w:bCs w:val="0"/>
          <w:sz w:val="22"/>
          <w:szCs w:val="22"/>
        </w:rPr>
      </w:pPr>
    </w:p>
    <w:p>
      <w:pPr>
        <w:keepLines/>
        <w:numPr>
          <w:ilvl w:val="0"/>
          <w:numId w:val="2"/>
        </w:numPr>
        <w:spacing w:line="480" w:lineRule="exact"/>
        <w:ind w:left="758" w:hanging="758" w:hangingChars="236"/>
        <w:contextualSpacing/>
        <w:jc w:val="center"/>
        <w:outlineLvl w:val="0"/>
        <w:rPr>
          <w:rFonts w:eastAsia="黑体"/>
          <w:b/>
          <w:bCs/>
          <w:kern w:val="44"/>
          <w:sz w:val="32"/>
          <w:szCs w:val="44"/>
          <w:lang w:val="zh-CN"/>
        </w:rPr>
      </w:pPr>
      <w:bookmarkStart w:id="44" w:name="_Toc57400504"/>
      <w:bookmarkStart w:id="45" w:name="_Toc22793"/>
      <w:r>
        <w:rPr>
          <w:rFonts w:hint="eastAsia" w:eastAsia="黑体"/>
          <w:b/>
          <w:bCs/>
          <w:kern w:val="44"/>
          <w:sz w:val="32"/>
          <w:szCs w:val="44"/>
          <w:lang w:val="zh-CN"/>
        </w:rPr>
        <w:t>结构专业</w:t>
      </w:r>
      <w:bookmarkEnd w:id="44"/>
      <w:bookmarkEnd w:id="45"/>
    </w:p>
    <w:p>
      <w:pPr>
        <w:adjustRightInd w:val="0"/>
        <w:spacing w:line="480" w:lineRule="exact"/>
        <w:jc w:val="left"/>
        <w:rPr>
          <w:rFonts w:ascii="宋体" w:hAnsi="宋体"/>
          <w:b/>
          <w:bCs/>
        </w:rPr>
      </w:pPr>
    </w:p>
    <w:p>
      <w:pPr>
        <w:pStyle w:val="43"/>
        <w:spacing w:beforeLines="0" w:afterLines="0" w:line="480" w:lineRule="exact"/>
        <w:jc w:val="both"/>
        <w:outlineLvl w:val="9"/>
        <w:rPr>
          <w:b w:val="0"/>
          <w:bCs w:val="0"/>
          <w:sz w:val="24"/>
          <w:szCs w:val="24"/>
        </w:rPr>
      </w:pPr>
      <w:bookmarkStart w:id="46" w:name="_Toc4928"/>
      <w:r>
        <w:rPr>
          <w:rFonts w:hint="eastAsia"/>
          <w:b w:val="0"/>
          <w:bCs w:val="0"/>
          <w:sz w:val="24"/>
          <w:szCs w:val="24"/>
        </w:rPr>
        <w:t>3.1.1住宅结构设计除满足国家、地方规范和省、市相关规定外，为进一步提升住宅品质对相关问题进行补充完善，尚应执行本细则。</w:t>
      </w:r>
      <w:bookmarkEnd w:id="46"/>
    </w:p>
    <w:p>
      <w:pPr>
        <w:pStyle w:val="43"/>
        <w:spacing w:beforeLines="0" w:afterLines="0" w:line="480" w:lineRule="exact"/>
        <w:jc w:val="both"/>
        <w:outlineLvl w:val="9"/>
        <w:rPr>
          <w:b w:val="0"/>
          <w:bCs w:val="0"/>
          <w:sz w:val="24"/>
          <w:szCs w:val="24"/>
        </w:rPr>
      </w:pPr>
      <w:bookmarkStart w:id="47" w:name="_Toc25816"/>
      <w:r>
        <w:rPr>
          <w:rFonts w:hint="eastAsia"/>
          <w:b w:val="0"/>
          <w:bCs w:val="0"/>
          <w:sz w:val="24"/>
          <w:szCs w:val="24"/>
        </w:rPr>
        <w:t>3.1.2住宅结构的安全等级、设计使用年限应符合现行国家标准《建筑结构可靠性设计统一标准》GB50068的规定，设计使用年限不应少于50年，其安全等级不应低于二级。</w:t>
      </w:r>
      <w:bookmarkEnd w:id="47"/>
    </w:p>
    <w:p>
      <w:pPr>
        <w:pStyle w:val="43"/>
        <w:spacing w:beforeLines="0" w:afterLines="0" w:line="480" w:lineRule="exact"/>
        <w:jc w:val="both"/>
        <w:outlineLvl w:val="9"/>
        <w:rPr>
          <w:b w:val="0"/>
          <w:bCs w:val="0"/>
          <w:sz w:val="24"/>
          <w:szCs w:val="24"/>
        </w:rPr>
      </w:pPr>
      <w:bookmarkStart w:id="48" w:name="_Toc28427"/>
      <w:r>
        <w:rPr>
          <w:rFonts w:hint="eastAsia"/>
          <w:b w:val="0"/>
          <w:bCs w:val="0"/>
          <w:sz w:val="24"/>
          <w:szCs w:val="24"/>
        </w:rPr>
        <w:t>3.1.3住宅结构应能承受在正常建造和正常使用过程中可能发生的各种作用和环境影响。在结构设计使用年限内，住宅结构和结构构件必须满足安全性、适用性和耐久性要求。</w:t>
      </w:r>
      <w:bookmarkEnd w:id="48"/>
    </w:p>
    <w:p>
      <w:pPr>
        <w:pStyle w:val="43"/>
        <w:spacing w:beforeLines="0" w:afterLines="0" w:line="480" w:lineRule="exact"/>
        <w:jc w:val="both"/>
        <w:outlineLvl w:val="9"/>
        <w:rPr>
          <w:b w:val="0"/>
          <w:bCs w:val="0"/>
          <w:sz w:val="24"/>
          <w:szCs w:val="24"/>
        </w:rPr>
      </w:pPr>
      <w:bookmarkStart w:id="49" w:name="_Toc5232"/>
      <w:r>
        <w:rPr>
          <w:rFonts w:hint="eastAsia"/>
          <w:b w:val="0"/>
          <w:bCs w:val="0"/>
          <w:sz w:val="24"/>
          <w:szCs w:val="24"/>
        </w:rPr>
        <w:t>3.1.4</w:t>
      </w:r>
      <w:r>
        <w:rPr>
          <w:b w:val="0"/>
          <w:bCs w:val="0"/>
          <w:sz w:val="24"/>
          <w:szCs w:val="24"/>
        </w:rPr>
        <w:t xml:space="preserve"> </w:t>
      </w:r>
      <w:r>
        <w:rPr>
          <w:rFonts w:hint="eastAsia"/>
          <w:b w:val="0"/>
          <w:bCs w:val="0"/>
          <w:sz w:val="24"/>
          <w:szCs w:val="24"/>
        </w:rPr>
        <w:t>主体结构耐久性设计使用年限宜按70年。</w:t>
      </w:r>
      <w:bookmarkEnd w:id="49"/>
    </w:p>
    <w:p>
      <w:pPr>
        <w:pStyle w:val="43"/>
        <w:spacing w:beforeLines="0" w:afterLines="0" w:line="480" w:lineRule="exact"/>
        <w:jc w:val="both"/>
        <w:outlineLvl w:val="9"/>
        <w:rPr>
          <w:b w:val="0"/>
          <w:bCs w:val="0"/>
          <w:sz w:val="24"/>
          <w:szCs w:val="24"/>
        </w:rPr>
      </w:pPr>
      <w:bookmarkStart w:id="50" w:name="_Toc21881"/>
      <w:r>
        <w:rPr>
          <w:rFonts w:hint="eastAsia"/>
          <w:b w:val="0"/>
          <w:bCs w:val="0"/>
          <w:sz w:val="24"/>
          <w:szCs w:val="24"/>
        </w:rPr>
        <w:t>3.1.5设计应提出结构使用阶段的检测、维护与修复要求，包括检测与维护必须的构造与设施。</w:t>
      </w:r>
      <w:bookmarkEnd w:id="50"/>
    </w:p>
    <w:p>
      <w:pPr>
        <w:pStyle w:val="43"/>
        <w:spacing w:beforeLines="0" w:afterLines="0" w:line="480" w:lineRule="exact"/>
        <w:jc w:val="both"/>
        <w:outlineLvl w:val="9"/>
        <w:rPr>
          <w:b w:val="0"/>
          <w:bCs w:val="0"/>
          <w:sz w:val="24"/>
          <w:szCs w:val="24"/>
        </w:rPr>
      </w:pPr>
      <w:bookmarkStart w:id="51" w:name="_Toc18216"/>
      <w:r>
        <w:rPr>
          <w:rFonts w:hint="eastAsia"/>
          <w:b w:val="0"/>
          <w:bCs w:val="0"/>
          <w:sz w:val="24"/>
          <w:szCs w:val="24"/>
        </w:rPr>
        <w:t>3.1.6住宅结构设计应取得合格的岩土工程勘察文件。对不利地段，应提出避开要求或采取有效措施；严禁在抗震危险地段建造住宅建筑。</w:t>
      </w:r>
      <w:bookmarkEnd w:id="51"/>
    </w:p>
    <w:p>
      <w:pPr>
        <w:pStyle w:val="43"/>
        <w:spacing w:beforeLines="0" w:afterLines="0" w:line="480" w:lineRule="exact"/>
        <w:jc w:val="both"/>
        <w:outlineLvl w:val="9"/>
        <w:rPr>
          <w:b w:val="0"/>
          <w:bCs w:val="0"/>
          <w:sz w:val="24"/>
          <w:szCs w:val="24"/>
        </w:rPr>
      </w:pPr>
      <w:bookmarkStart w:id="52" w:name="_Toc14957"/>
      <w:r>
        <w:rPr>
          <w:rFonts w:hint="eastAsia"/>
          <w:b w:val="0"/>
          <w:bCs w:val="0"/>
          <w:sz w:val="24"/>
          <w:szCs w:val="24"/>
        </w:rPr>
        <w:t>3.1.7</w:t>
      </w:r>
      <w:r>
        <w:rPr>
          <w:b w:val="0"/>
          <w:bCs w:val="0"/>
          <w:sz w:val="24"/>
          <w:szCs w:val="24"/>
        </w:rPr>
        <w:t xml:space="preserve"> </w:t>
      </w:r>
      <w:r>
        <w:rPr>
          <w:rFonts w:hint="eastAsia"/>
          <w:b w:val="0"/>
          <w:bCs w:val="0"/>
          <w:sz w:val="24"/>
          <w:szCs w:val="24"/>
        </w:rPr>
        <w:t>住宅悬挑阳台构件设计宜提高活荷载。</w:t>
      </w:r>
      <w:bookmarkEnd w:id="52"/>
    </w:p>
    <w:p>
      <w:pPr>
        <w:pStyle w:val="43"/>
        <w:spacing w:beforeLines="0" w:afterLines="0" w:line="480" w:lineRule="exact"/>
        <w:jc w:val="both"/>
        <w:outlineLvl w:val="9"/>
        <w:rPr>
          <w:b w:val="0"/>
          <w:bCs w:val="0"/>
          <w:sz w:val="24"/>
          <w:szCs w:val="24"/>
        </w:rPr>
      </w:pPr>
      <w:bookmarkStart w:id="53" w:name="_Toc5015"/>
      <w:r>
        <w:rPr>
          <w:rFonts w:hint="eastAsia"/>
          <w:b w:val="0"/>
          <w:bCs w:val="0"/>
          <w:sz w:val="24"/>
          <w:szCs w:val="24"/>
        </w:rPr>
        <w:t>3.1.8</w:t>
      </w:r>
      <w:r>
        <w:rPr>
          <w:b w:val="0"/>
          <w:bCs w:val="0"/>
          <w:sz w:val="24"/>
          <w:szCs w:val="24"/>
        </w:rPr>
        <w:t xml:space="preserve"> </w:t>
      </w:r>
      <w:r>
        <w:rPr>
          <w:rFonts w:hint="eastAsia"/>
          <w:b w:val="0"/>
          <w:bCs w:val="0"/>
          <w:sz w:val="24"/>
          <w:szCs w:val="24"/>
        </w:rPr>
        <w:t>填充墙墙体除应满足稳定要求外，应考虑风荷载及地震作用影响。</w:t>
      </w:r>
      <w:bookmarkEnd w:id="53"/>
    </w:p>
    <w:p>
      <w:pPr>
        <w:pStyle w:val="43"/>
        <w:spacing w:beforeLines="0" w:afterLines="0" w:line="480" w:lineRule="exact"/>
        <w:jc w:val="both"/>
        <w:outlineLvl w:val="9"/>
        <w:rPr>
          <w:b w:val="0"/>
          <w:bCs w:val="0"/>
          <w:sz w:val="24"/>
          <w:szCs w:val="24"/>
        </w:rPr>
      </w:pPr>
      <w:bookmarkStart w:id="54" w:name="_Toc2908"/>
      <w:r>
        <w:rPr>
          <w:rFonts w:hint="eastAsia"/>
          <w:b w:val="0"/>
          <w:bCs w:val="0"/>
          <w:sz w:val="24"/>
          <w:szCs w:val="24"/>
        </w:rPr>
        <w:t>3.1.9</w:t>
      </w:r>
      <w:r>
        <w:rPr>
          <w:b w:val="0"/>
          <w:bCs w:val="0"/>
          <w:sz w:val="24"/>
          <w:szCs w:val="24"/>
        </w:rPr>
        <w:t xml:space="preserve"> </w:t>
      </w:r>
      <w:r>
        <w:rPr>
          <w:rFonts w:hint="eastAsia"/>
          <w:b w:val="0"/>
          <w:bCs w:val="0"/>
          <w:sz w:val="24"/>
          <w:szCs w:val="24"/>
        </w:rPr>
        <w:t>抗震设计应根据结构布置实际情况，对薄弱部位采取可靠的加强措施，必要时进行性能化设计，对关键部位和薄弱部位提高性能目标。</w:t>
      </w:r>
      <w:bookmarkEnd w:id="54"/>
    </w:p>
    <w:p>
      <w:pPr>
        <w:pStyle w:val="43"/>
        <w:spacing w:beforeLines="0" w:afterLines="0" w:line="480" w:lineRule="exact"/>
        <w:jc w:val="both"/>
        <w:outlineLvl w:val="9"/>
        <w:rPr>
          <w:b w:val="0"/>
          <w:bCs w:val="0"/>
          <w:sz w:val="24"/>
          <w:szCs w:val="24"/>
        </w:rPr>
      </w:pPr>
      <w:bookmarkStart w:id="55" w:name="_Toc1457"/>
      <w:r>
        <w:rPr>
          <w:rFonts w:hint="eastAsia"/>
          <w:b w:val="0"/>
          <w:bCs w:val="0"/>
          <w:sz w:val="24"/>
          <w:szCs w:val="24"/>
        </w:rPr>
        <w:t>3.1.10</w:t>
      </w:r>
      <w:r>
        <w:rPr>
          <w:b w:val="0"/>
          <w:bCs w:val="0"/>
          <w:sz w:val="24"/>
          <w:szCs w:val="24"/>
        </w:rPr>
        <w:t xml:space="preserve"> </w:t>
      </w:r>
      <w:r>
        <w:rPr>
          <w:rFonts w:hint="eastAsia"/>
          <w:b w:val="0"/>
          <w:bCs w:val="0"/>
          <w:sz w:val="24"/>
          <w:szCs w:val="24"/>
        </w:rPr>
        <w:t>结构设计应采用成熟和可靠的材料、技术、工艺；当采用本地未采用过的材料、技术、工艺和新材料、新技术、新工艺时，应专门研究，并确保安全、可靠、适用的情况下方可采用。</w:t>
      </w:r>
      <w:bookmarkEnd w:id="55"/>
    </w:p>
    <w:p>
      <w:pPr>
        <w:pStyle w:val="81"/>
        <w:adjustRightInd w:val="0"/>
        <w:spacing w:line="480" w:lineRule="exact"/>
        <w:ind w:firstLine="0" w:firstLineChars="0"/>
        <w:jc w:val="left"/>
      </w:pPr>
      <w:r>
        <w:rPr>
          <w:rFonts w:hint="eastAsia"/>
        </w:rPr>
        <w:t>3.1.11</w:t>
      </w:r>
      <w:r>
        <w:t xml:space="preserve"> </w:t>
      </w:r>
      <w:r>
        <w:rPr>
          <w:rFonts w:hint="eastAsia"/>
        </w:rPr>
        <w:t>十层及十层以上或房屋高度大于2</w:t>
      </w:r>
      <w:r>
        <w:t>8m</w:t>
      </w:r>
      <w:r>
        <w:rPr>
          <w:rFonts w:hint="eastAsia"/>
        </w:rPr>
        <w:t>的住宅建筑应设置地下室。</w:t>
      </w:r>
    </w:p>
    <w:p>
      <w:pPr>
        <w:pStyle w:val="81"/>
        <w:adjustRightInd w:val="0"/>
        <w:spacing w:line="480" w:lineRule="exact"/>
        <w:ind w:firstLine="0" w:firstLineChars="0"/>
        <w:jc w:val="left"/>
      </w:pPr>
      <w:r>
        <w:rPr>
          <w:rFonts w:hint="eastAsia"/>
        </w:rPr>
        <w:t>3.1.12</w:t>
      </w:r>
      <w:r>
        <w:t xml:space="preserve"> </w:t>
      </w:r>
      <w:r>
        <w:rPr>
          <w:rFonts w:hint="eastAsia"/>
        </w:rPr>
        <w:t>地下室底板采用平板式筏基的板厚不应小于4</w:t>
      </w:r>
      <w:r>
        <w:t>00mm</w:t>
      </w:r>
      <w:r>
        <w:rPr>
          <w:rFonts w:hint="eastAsia"/>
        </w:rPr>
        <w:t>；地下室底板采用防水板基础时配筋率应满足G</w:t>
      </w:r>
      <w:r>
        <w:t>B50010</w:t>
      </w:r>
      <w:r>
        <w:rPr>
          <w:rFonts w:hint="eastAsia"/>
        </w:rPr>
        <w:t>中受弯构件最小配筋率要求，并应有与计算模型相符的相关措施。</w:t>
      </w:r>
    </w:p>
    <w:p>
      <w:pPr>
        <w:pStyle w:val="81"/>
        <w:adjustRightInd w:val="0"/>
        <w:spacing w:line="480" w:lineRule="exact"/>
        <w:ind w:firstLine="0" w:firstLineChars="0"/>
        <w:jc w:val="left"/>
      </w:pPr>
      <w:r>
        <w:rPr>
          <w:rFonts w:hint="eastAsia"/>
        </w:rPr>
        <w:t>3.1.13</w:t>
      </w:r>
      <w:r>
        <w:t xml:space="preserve"> </w:t>
      </w:r>
      <w:r>
        <w:rPr>
          <w:rFonts w:hint="eastAsia"/>
        </w:rPr>
        <w:t>有覆土的地下室框架柱较小边长尺寸不得小于</w:t>
      </w:r>
      <w:r>
        <w:t>45</w:t>
      </w:r>
      <w:r>
        <w:rPr>
          <w:rFonts w:hint="eastAsia"/>
        </w:rPr>
        <w:t>0</w:t>
      </w:r>
      <w:r>
        <w:t>mm</w:t>
      </w:r>
      <w:r>
        <w:rPr>
          <w:rFonts w:hint="eastAsia"/>
        </w:rPr>
        <w:t>。</w:t>
      </w:r>
    </w:p>
    <w:p>
      <w:pPr>
        <w:pStyle w:val="81"/>
        <w:adjustRightInd w:val="0"/>
        <w:spacing w:line="480" w:lineRule="exact"/>
        <w:ind w:firstLine="0" w:firstLineChars="0"/>
        <w:jc w:val="left"/>
      </w:pPr>
      <w:r>
        <w:rPr>
          <w:rFonts w:hint="eastAsia"/>
        </w:rPr>
        <w:t>3.1.14</w:t>
      </w:r>
      <w:r>
        <w:t xml:space="preserve"> </w:t>
      </w:r>
      <w:r>
        <w:rPr>
          <w:rFonts w:hint="eastAsia"/>
        </w:rPr>
        <w:t>地下室顶板不应采用无梁楼盖，地下室中间楼板不宜采用无梁楼盖。</w:t>
      </w:r>
    </w:p>
    <w:p>
      <w:pPr>
        <w:pStyle w:val="81"/>
        <w:adjustRightInd w:val="0"/>
        <w:spacing w:line="480" w:lineRule="exact"/>
        <w:ind w:firstLine="0" w:firstLineChars="0"/>
        <w:jc w:val="left"/>
      </w:pPr>
      <w:r>
        <w:rPr>
          <w:rFonts w:hint="eastAsia"/>
        </w:rPr>
        <w:t>3.1.15</w:t>
      </w:r>
      <w:r>
        <w:t xml:space="preserve"> </w:t>
      </w:r>
      <w:r>
        <w:rPr>
          <w:rFonts w:hint="eastAsia"/>
        </w:rPr>
        <w:t>设计用的工程桩单桩承载力特征值应通过单桩载荷试验确定，工程桩设计应按试桩成果进行。</w:t>
      </w:r>
    </w:p>
    <w:p>
      <w:pPr>
        <w:pStyle w:val="81"/>
        <w:adjustRightInd w:val="0"/>
        <w:spacing w:line="480" w:lineRule="exact"/>
        <w:ind w:firstLine="0" w:firstLineChars="0"/>
        <w:jc w:val="left"/>
      </w:pPr>
      <w:r>
        <w:rPr>
          <w:rFonts w:hint="eastAsia"/>
        </w:rPr>
        <w:t>3.1.16</w:t>
      </w:r>
      <w:r>
        <w:t xml:space="preserve"> </w:t>
      </w:r>
      <w:r>
        <w:rPr>
          <w:rFonts w:hint="eastAsia"/>
        </w:rPr>
        <w:t>地下室抗浮不应采用土层锚杆。</w:t>
      </w:r>
    </w:p>
    <w:p>
      <w:pPr>
        <w:pStyle w:val="81"/>
        <w:adjustRightInd w:val="0"/>
        <w:spacing w:line="480" w:lineRule="exact"/>
        <w:ind w:firstLine="0" w:firstLineChars="0"/>
        <w:jc w:val="left"/>
      </w:pPr>
      <w:r>
        <w:rPr>
          <w:rFonts w:hint="eastAsia"/>
        </w:rPr>
        <w:t>3.1.17</w:t>
      </w:r>
      <w:r>
        <w:t xml:space="preserve"> </w:t>
      </w:r>
      <w:r>
        <w:rPr>
          <w:rFonts w:hint="eastAsia"/>
        </w:rPr>
        <w:t>结构高宽比不宜超J</w:t>
      </w:r>
      <w:r>
        <w:t>GJ3</w:t>
      </w:r>
      <w:r>
        <w:rPr>
          <w:rFonts w:hint="eastAsia"/>
        </w:rPr>
        <w:t>中结构适用的最大高宽比，当结构高宽比超过适用高宽比的1</w:t>
      </w:r>
      <w:r>
        <w:t>.2</w:t>
      </w:r>
      <w:r>
        <w:rPr>
          <w:rFonts w:hint="eastAsia"/>
        </w:rPr>
        <w:t>倍时应专门研究。</w:t>
      </w:r>
    </w:p>
    <w:p>
      <w:pPr>
        <w:pStyle w:val="81"/>
        <w:adjustRightInd w:val="0"/>
        <w:spacing w:line="480" w:lineRule="exact"/>
        <w:ind w:firstLine="0" w:firstLineChars="0"/>
        <w:jc w:val="left"/>
      </w:pPr>
      <w:r>
        <w:rPr>
          <w:rFonts w:hint="eastAsia"/>
        </w:rPr>
        <w:t>3.1.18</w:t>
      </w:r>
      <w:r>
        <w:t xml:space="preserve"> </w:t>
      </w:r>
      <w:r>
        <w:rPr>
          <w:rFonts w:hint="eastAsia"/>
        </w:rPr>
        <w:t>连廊宽度不应小于2.0米，且不小于连廊总长度的四分之一；连廊梁、连廊柱和直接支承连廊的剪力墙边缘构件，抗震构造措施应提高一级，剪力墙边缘构件应全高设置约束边缘构件；连廊梁、连廊柱应按照中震抗剪弹性、抗弯不屈服设计；连廊板及周边板厚度不应小于150mm，配双层双向拉通钢筋，其配筋率不应小于0.25%。</w:t>
      </w:r>
    </w:p>
    <w:p>
      <w:pPr>
        <w:pStyle w:val="81"/>
        <w:adjustRightInd w:val="0"/>
        <w:spacing w:line="480" w:lineRule="exact"/>
        <w:ind w:firstLine="0" w:firstLineChars="0"/>
        <w:jc w:val="left"/>
      </w:pPr>
      <w:r>
        <w:rPr>
          <w:rFonts w:hint="eastAsia"/>
        </w:rPr>
        <w:t>3.1.19</w:t>
      </w:r>
      <w:r>
        <w:t xml:space="preserve"> </w:t>
      </w:r>
      <w:r>
        <w:rPr>
          <w:rFonts w:hint="eastAsia"/>
        </w:rPr>
        <w:t>住宅平面南侧应沿纵向布置翼墙至门窗洞边，并应在主体平面的南侧或中部沿纵向布置一般剪力墙，两个方向的刚度不宜相差过大，不应采用仅单向有墙的结构布置。单向少墙时尚应复核剪力墙面外刚度影响并按框剪要求采取加强措施。</w:t>
      </w:r>
    </w:p>
    <w:p>
      <w:pPr>
        <w:pStyle w:val="81"/>
        <w:adjustRightInd w:val="0"/>
        <w:spacing w:line="480" w:lineRule="exact"/>
        <w:ind w:firstLine="0" w:firstLineChars="0"/>
        <w:jc w:val="left"/>
      </w:pPr>
      <w:r>
        <w:rPr>
          <w:rFonts w:hint="eastAsia"/>
        </w:rPr>
        <w:t>3.1.20</w:t>
      </w:r>
      <w:r>
        <w:t xml:space="preserve"> </w:t>
      </w:r>
      <w:r>
        <w:rPr>
          <w:rFonts w:hint="eastAsia"/>
        </w:rPr>
        <w:t>当剪力墙连梁跨高比不大于2.5、两侧墙肢长度不小于1000mm且不小于连梁高度时，可按开洞剪力墙模型计算。</w:t>
      </w:r>
    </w:p>
    <w:p>
      <w:pPr>
        <w:pStyle w:val="81"/>
        <w:adjustRightInd w:val="0"/>
        <w:spacing w:line="480" w:lineRule="exact"/>
        <w:ind w:firstLine="0" w:firstLineChars="0"/>
        <w:jc w:val="left"/>
      </w:pPr>
      <w:r>
        <w:rPr>
          <w:rFonts w:hint="eastAsia"/>
        </w:rPr>
        <w:t>3.1.21</w:t>
      </w:r>
      <w:r>
        <w:t xml:space="preserve"> </w:t>
      </w:r>
      <w:r>
        <w:rPr>
          <w:rFonts w:hint="eastAsia"/>
        </w:rPr>
        <w:t>剪力墙平面外单侧搁置的梁，当梁宽大于墙厚时或梁跨度不小于5.0米且梁高大于墙厚2倍时，应设翼墙或端柱，翼墙配筋还应满足框架柱的构造要求。</w:t>
      </w:r>
    </w:p>
    <w:p>
      <w:pPr>
        <w:pStyle w:val="81"/>
        <w:adjustRightInd w:val="0"/>
        <w:spacing w:line="480" w:lineRule="exact"/>
        <w:ind w:firstLine="0" w:firstLineChars="0"/>
        <w:jc w:val="left"/>
      </w:pPr>
      <w:r>
        <w:rPr>
          <w:rFonts w:hint="eastAsia"/>
        </w:rPr>
        <w:t>3.1.22</w:t>
      </w:r>
      <w:r>
        <w:t xml:space="preserve"> </w:t>
      </w:r>
      <w:r>
        <w:rPr>
          <w:rFonts w:hint="eastAsia"/>
        </w:rPr>
        <w:t>当住宅结构高度接近或等于高度分界线时，底部加强部位应按提高一级采取抗震构造措施。</w:t>
      </w:r>
    </w:p>
    <w:p>
      <w:pPr>
        <w:pStyle w:val="81"/>
        <w:adjustRightInd w:val="0"/>
        <w:spacing w:line="480" w:lineRule="exact"/>
        <w:ind w:firstLine="0" w:firstLineChars="0"/>
        <w:jc w:val="left"/>
      </w:pPr>
      <w:r>
        <w:rPr>
          <w:rFonts w:hint="eastAsia"/>
        </w:rPr>
        <w:t>3.1.23</w:t>
      </w:r>
      <w:r>
        <w:t xml:space="preserve"> </w:t>
      </w:r>
      <w:r>
        <w:rPr>
          <w:rFonts w:hint="eastAsia"/>
        </w:rPr>
        <w:t>住宅楼板按弹性板设计，异形板采用有限元补充分析，楼板采用双层双向配筋，跨中板面钢筋应与支座钢筋贯通布置。</w:t>
      </w:r>
    </w:p>
    <w:p>
      <w:pPr>
        <w:pStyle w:val="81"/>
        <w:adjustRightInd w:val="0"/>
        <w:spacing w:line="480" w:lineRule="exact"/>
        <w:ind w:firstLine="0" w:firstLineChars="0"/>
        <w:jc w:val="left"/>
      </w:pPr>
      <w:r>
        <w:rPr>
          <w:rFonts w:hint="eastAsia"/>
        </w:rPr>
        <w:t>3.1.24</w:t>
      </w:r>
      <w:r>
        <w:t xml:space="preserve"> </w:t>
      </w:r>
      <w:r>
        <w:rPr>
          <w:rFonts w:hint="eastAsia"/>
        </w:rPr>
        <w:t>结构构件上的设备孔洞应根据相关专业要求预留，设计文件中应有加强措施。</w:t>
      </w:r>
    </w:p>
    <w:p>
      <w:pPr>
        <w:pStyle w:val="81"/>
        <w:adjustRightInd w:val="0"/>
        <w:spacing w:line="480" w:lineRule="exact"/>
        <w:ind w:firstLine="0" w:firstLineChars="0"/>
        <w:jc w:val="left"/>
      </w:pPr>
      <w:r>
        <w:rPr>
          <w:rFonts w:hint="eastAsia"/>
        </w:rPr>
        <w:t>3.1.25</w:t>
      </w:r>
      <w:r>
        <w:t xml:space="preserve"> </w:t>
      </w:r>
      <w:r>
        <w:rPr>
          <w:rFonts w:hint="eastAsia"/>
        </w:rPr>
        <w:t>高层住宅剪力墙的厚度不应小于200mm，不应采用一字形短肢剪力墙，外围剪力墙、剪力墙两侧楼板跨度差异较大时不应采用一字形剪力墙，一字剪力墙平面外不应布置单侧楼面梁。突出主体结构的电梯井应围合成筒体。</w:t>
      </w:r>
    </w:p>
    <w:p>
      <w:pPr>
        <w:pStyle w:val="81"/>
        <w:adjustRightInd w:val="0"/>
        <w:spacing w:line="480" w:lineRule="exact"/>
        <w:ind w:firstLine="0" w:firstLineChars="0"/>
        <w:jc w:val="left"/>
      </w:pPr>
      <w:r>
        <w:rPr>
          <w:rFonts w:hint="eastAsia"/>
        </w:rPr>
        <w:t>3.1.26</w:t>
      </w:r>
      <w:r>
        <w:t xml:space="preserve"> </w:t>
      </w:r>
      <w:r>
        <w:rPr>
          <w:rFonts w:hint="eastAsia"/>
        </w:rPr>
        <w:t>建筑外围剪力墙的水平及竖向分布筋的间距均不应大于200mm。</w:t>
      </w:r>
    </w:p>
    <w:p>
      <w:pPr>
        <w:pStyle w:val="81"/>
        <w:adjustRightInd w:val="0"/>
        <w:spacing w:line="480" w:lineRule="exact"/>
        <w:ind w:firstLine="0" w:firstLineChars="0"/>
        <w:jc w:val="left"/>
      </w:pPr>
      <w:r>
        <w:rPr>
          <w:rFonts w:hint="eastAsia"/>
        </w:rPr>
        <w:t>3.1.27</w:t>
      </w:r>
      <w:r>
        <w:t xml:space="preserve"> 剪力墙的边缘构件</w:t>
      </w:r>
      <w:r>
        <w:rPr>
          <w:rFonts w:hint="eastAsia"/>
        </w:rPr>
        <w:t>，</w:t>
      </w:r>
      <w:r>
        <w:t>其外圈应设置封闭箍筋</w:t>
      </w:r>
      <w:r>
        <w:rPr>
          <w:rFonts w:hint="eastAsia"/>
        </w:rPr>
        <w:t>，</w:t>
      </w:r>
      <w:r>
        <w:t>不应以剪力墙水平筋代替箍筋</w:t>
      </w:r>
      <w:r>
        <w:rPr>
          <w:rFonts w:hint="eastAsia"/>
        </w:rPr>
        <w:t>。</w:t>
      </w:r>
    </w:p>
    <w:p>
      <w:pPr>
        <w:adjustRightInd w:val="0"/>
        <w:spacing w:line="480" w:lineRule="exact"/>
        <w:jc w:val="left"/>
        <w:rPr>
          <w:rFonts w:ascii="仿宋_GB2312" w:hAnsi="宋体" w:eastAsia="仿宋_GB2312"/>
        </w:rPr>
      </w:pPr>
    </w:p>
    <w:p>
      <w:pPr>
        <w:pStyle w:val="81"/>
        <w:adjustRightInd w:val="0"/>
        <w:spacing w:line="480" w:lineRule="exact"/>
        <w:ind w:firstLine="0" w:firstLineChars="0"/>
        <w:jc w:val="left"/>
      </w:pPr>
      <w:r>
        <w:rPr>
          <w:rFonts w:hint="eastAsia"/>
        </w:rPr>
        <w:t>3.1.28</w:t>
      </w:r>
      <w:r>
        <w:t xml:space="preserve"> </w:t>
      </w:r>
      <w:r>
        <w:rPr>
          <w:rFonts w:hint="eastAsia"/>
        </w:rPr>
        <w:t>混凝土结构住宅不宜设置转角窗；需</w:t>
      </w:r>
      <w:r>
        <w:t>设置转角窗时，</w:t>
      </w:r>
      <w:r>
        <w:rPr>
          <w:rFonts w:hint="eastAsia"/>
        </w:rPr>
        <w:t>应采取加强措施，转角窗外墙在端部无翼墙和端柱时墙厚不小于2</w:t>
      </w:r>
      <w:r>
        <w:t>50mm</w:t>
      </w:r>
      <w:r>
        <w:rPr>
          <w:rFonts w:hint="eastAsia"/>
        </w:rPr>
        <w:t>。</w:t>
      </w:r>
    </w:p>
    <w:p>
      <w:pPr>
        <w:pStyle w:val="81"/>
        <w:adjustRightInd w:val="0"/>
        <w:spacing w:line="480" w:lineRule="exact"/>
        <w:ind w:firstLine="0" w:firstLineChars="0"/>
        <w:jc w:val="left"/>
      </w:pPr>
      <w:r>
        <w:rPr>
          <w:rFonts w:hint="eastAsia"/>
        </w:rPr>
        <w:t>3.1.29</w:t>
      </w:r>
      <w:r>
        <w:t xml:space="preserve"> </w:t>
      </w:r>
      <w:r>
        <w:rPr>
          <w:rFonts w:hint="eastAsia"/>
        </w:rPr>
        <w:t>地下室顶板覆土容重应按实际情况确定，且地下室结构和基础的承载力计算时不应小于18kN/m</w:t>
      </w:r>
      <w:r>
        <w:rPr>
          <w:rFonts w:hint="eastAsia"/>
          <w:vertAlign w:val="superscript"/>
        </w:rPr>
        <w:t>3</w:t>
      </w:r>
      <w:r>
        <w:rPr>
          <w:rFonts w:hint="eastAsia"/>
        </w:rPr>
        <w:t>，地下室抗浮计算时不应大于16kN/m</w:t>
      </w:r>
      <w:r>
        <w:rPr>
          <w:rFonts w:hint="eastAsia"/>
          <w:vertAlign w:val="superscript"/>
        </w:rPr>
        <w:t>3</w:t>
      </w:r>
      <w:r>
        <w:rPr>
          <w:rFonts w:hint="eastAsia"/>
        </w:rPr>
        <w:t>。</w:t>
      </w:r>
    </w:p>
    <w:p>
      <w:pPr>
        <w:pStyle w:val="81"/>
        <w:adjustRightInd w:val="0"/>
        <w:spacing w:line="480" w:lineRule="exact"/>
        <w:ind w:firstLine="0" w:firstLineChars="0"/>
        <w:jc w:val="left"/>
      </w:pPr>
      <w:r>
        <w:rPr>
          <w:rFonts w:hint="eastAsia"/>
        </w:rPr>
        <w:t>3.1.30</w:t>
      </w:r>
      <w:r>
        <w:t xml:space="preserve"> </w:t>
      </w:r>
      <w:r>
        <w:rPr>
          <w:rFonts w:hint="eastAsia"/>
        </w:rPr>
        <w:t>地下室抗浮计算时，</w:t>
      </w:r>
      <w:r>
        <w:t>抗浮水位取室外地坪下</w:t>
      </w:r>
      <w:r>
        <w:rPr>
          <w:rFonts w:hint="eastAsia"/>
        </w:rPr>
        <w:t>0.5m、历史最高水位和地下室设计实际可能产生最不利水位的高值。</w:t>
      </w:r>
    </w:p>
    <w:p>
      <w:pPr>
        <w:pStyle w:val="81"/>
        <w:adjustRightInd w:val="0"/>
        <w:spacing w:line="480" w:lineRule="exact"/>
        <w:ind w:firstLine="0" w:firstLineChars="0"/>
        <w:jc w:val="left"/>
      </w:pPr>
      <w:r>
        <w:rPr>
          <w:rFonts w:hint="eastAsia"/>
        </w:rPr>
        <w:t>3.1.31</w:t>
      </w:r>
      <w:r>
        <w:t xml:space="preserve"> </w:t>
      </w:r>
      <w:r>
        <w:rPr>
          <w:rFonts w:hint="eastAsia"/>
        </w:rPr>
        <w:t>高层结构的第一、第二周期应为平动周期，第二平动周期与第一平动周期的比值，不应小于0.8。</w:t>
      </w:r>
    </w:p>
    <w:p>
      <w:pPr>
        <w:pStyle w:val="81"/>
        <w:adjustRightInd w:val="0"/>
        <w:spacing w:line="480" w:lineRule="exact"/>
        <w:ind w:firstLine="0" w:firstLineChars="0"/>
        <w:jc w:val="left"/>
      </w:pPr>
      <w:r>
        <w:rPr>
          <w:rFonts w:hint="eastAsia"/>
        </w:rPr>
        <w:t>3.1.32</w:t>
      </w:r>
      <w:r>
        <w:t xml:space="preserve"> 依附于住宅结构的围护结构和非结构构件，应采取与主体结构可靠的连接或锚固措施，连接处应预留埋件，并应满足安全性和适用性要求</w:t>
      </w:r>
      <w:r>
        <w:rPr>
          <w:rFonts w:hint="eastAsia"/>
        </w:rPr>
        <w:t>。</w:t>
      </w:r>
    </w:p>
    <w:p>
      <w:pPr>
        <w:pStyle w:val="81"/>
        <w:adjustRightInd w:val="0"/>
        <w:spacing w:line="480" w:lineRule="exact"/>
        <w:ind w:firstLine="0" w:firstLineChars="0"/>
        <w:jc w:val="left"/>
      </w:pPr>
      <w:r>
        <w:rPr>
          <w:rFonts w:hint="eastAsia"/>
        </w:rPr>
        <w:t>3.1.33</w:t>
      </w:r>
      <w:r>
        <w:t xml:space="preserve"> 安装太阳能集热器、电热水器、空调室外机、锅炉、热泵等设备的楼板、墙体，连接处应预留埋件，并采取可靠的防震、防风、防坠落等措施</w:t>
      </w:r>
      <w:r>
        <w:rPr>
          <w:rFonts w:hint="eastAsia"/>
        </w:rPr>
        <w:t>。</w:t>
      </w:r>
    </w:p>
    <w:p>
      <w:pPr>
        <w:pStyle w:val="81"/>
        <w:adjustRightInd w:val="0"/>
        <w:spacing w:line="480" w:lineRule="exact"/>
        <w:ind w:firstLine="0" w:firstLineChars="0"/>
        <w:jc w:val="left"/>
      </w:pPr>
      <w:r>
        <w:rPr>
          <w:rFonts w:hint="eastAsia"/>
        </w:rPr>
        <w:t>3.1.34</w:t>
      </w:r>
      <w:r>
        <w:t xml:space="preserve"> 在设计使用年限内，未经技术鉴定或设计许可，不得改变住宅结构的用途和使用环境，不得拆改结构构件和进行加层改造</w:t>
      </w:r>
      <w:r>
        <w:rPr>
          <w:rFonts w:hint="eastAsia"/>
        </w:rPr>
        <w:t>。</w:t>
      </w:r>
    </w:p>
    <w:p>
      <w:pPr>
        <w:pStyle w:val="81"/>
        <w:adjustRightInd w:val="0"/>
        <w:spacing w:line="480" w:lineRule="exact"/>
        <w:ind w:firstLine="0" w:firstLineChars="0"/>
        <w:jc w:val="left"/>
      </w:pPr>
    </w:p>
    <w:p>
      <w:pPr>
        <w:pStyle w:val="43"/>
        <w:spacing w:beforeLines="0" w:afterLines="0" w:line="480" w:lineRule="exact"/>
        <w:ind w:firstLine="440" w:firstLineChars="200"/>
        <w:jc w:val="left"/>
        <w:outlineLvl w:val="9"/>
        <w:rPr>
          <w:rFonts w:ascii="宋体" w:hAnsi="宋体"/>
          <w:b w:val="0"/>
          <w:bCs w:val="0"/>
          <w:sz w:val="22"/>
          <w:szCs w:val="22"/>
        </w:rPr>
      </w:pPr>
    </w:p>
    <w:p>
      <w:pPr>
        <w:pStyle w:val="43"/>
        <w:spacing w:beforeLines="0" w:afterLines="0" w:line="480" w:lineRule="exact"/>
        <w:ind w:firstLine="440" w:firstLineChars="200"/>
        <w:jc w:val="left"/>
        <w:outlineLvl w:val="9"/>
        <w:rPr>
          <w:rFonts w:ascii="宋体" w:hAnsi="宋体"/>
          <w:b w:val="0"/>
          <w:bCs w:val="0"/>
          <w:sz w:val="22"/>
          <w:szCs w:val="22"/>
        </w:rPr>
      </w:pPr>
    </w:p>
    <w:p>
      <w:pPr>
        <w:pStyle w:val="43"/>
        <w:spacing w:beforeLines="0" w:afterLines="0" w:line="480" w:lineRule="exact"/>
        <w:ind w:firstLine="440" w:firstLineChars="200"/>
        <w:jc w:val="left"/>
        <w:outlineLvl w:val="9"/>
        <w:rPr>
          <w:rFonts w:ascii="宋体" w:hAnsi="宋体"/>
          <w:b w:val="0"/>
          <w:bCs w:val="0"/>
          <w:sz w:val="22"/>
          <w:szCs w:val="22"/>
        </w:rPr>
      </w:pPr>
    </w:p>
    <w:p>
      <w:pPr>
        <w:pStyle w:val="43"/>
        <w:spacing w:beforeLines="0" w:afterLines="0" w:line="480" w:lineRule="exact"/>
        <w:ind w:firstLine="440" w:firstLineChars="200"/>
        <w:jc w:val="left"/>
        <w:outlineLvl w:val="9"/>
        <w:rPr>
          <w:rFonts w:ascii="宋体" w:hAnsi="宋体"/>
          <w:b w:val="0"/>
          <w:bCs w:val="0"/>
          <w:sz w:val="22"/>
          <w:szCs w:val="22"/>
        </w:rPr>
      </w:pPr>
    </w:p>
    <w:p>
      <w:pPr>
        <w:pStyle w:val="43"/>
        <w:spacing w:beforeLines="0" w:afterLines="0" w:line="480" w:lineRule="exact"/>
        <w:ind w:firstLine="440" w:firstLineChars="200"/>
        <w:jc w:val="left"/>
        <w:outlineLvl w:val="9"/>
        <w:rPr>
          <w:rFonts w:ascii="宋体" w:hAnsi="宋体"/>
          <w:b w:val="0"/>
          <w:bCs w:val="0"/>
          <w:sz w:val="22"/>
          <w:szCs w:val="22"/>
        </w:rPr>
      </w:pPr>
    </w:p>
    <w:p>
      <w:pPr>
        <w:pStyle w:val="43"/>
        <w:spacing w:beforeLines="0" w:afterLines="0" w:line="480" w:lineRule="exact"/>
        <w:ind w:firstLine="440" w:firstLineChars="200"/>
        <w:jc w:val="left"/>
        <w:outlineLvl w:val="9"/>
        <w:rPr>
          <w:rFonts w:ascii="宋体" w:hAnsi="宋体"/>
          <w:b w:val="0"/>
          <w:bCs w:val="0"/>
          <w:sz w:val="22"/>
          <w:szCs w:val="22"/>
        </w:rPr>
      </w:pPr>
    </w:p>
    <w:p>
      <w:pPr>
        <w:pStyle w:val="43"/>
        <w:spacing w:beforeLines="0" w:afterLines="0" w:line="480" w:lineRule="exact"/>
        <w:ind w:firstLine="440" w:firstLineChars="200"/>
        <w:jc w:val="left"/>
        <w:outlineLvl w:val="9"/>
        <w:rPr>
          <w:rFonts w:ascii="宋体" w:hAnsi="宋体"/>
          <w:b w:val="0"/>
          <w:bCs w:val="0"/>
          <w:sz w:val="22"/>
          <w:szCs w:val="22"/>
        </w:rPr>
      </w:pPr>
    </w:p>
    <w:p>
      <w:pPr>
        <w:pStyle w:val="43"/>
        <w:spacing w:beforeLines="0" w:afterLines="0" w:line="480" w:lineRule="exact"/>
        <w:ind w:firstLine="440" w:firstLineChars="200"/>
        <w:jc w:val="left"/>
        <w:outlineLvl w:val="9"/>
        <w:rPr>
          <w:rFonts w:ascii="宋体" w:hAnsi="宋体"/>
          <w:b w:val="0"/>
          <w:bCs w:val="0"/>
          <w:sz w:val="22"/>
          <w:szCs w:val="22"/>
        </w:rPr>
      </w:pPr>
    </w:p>
    <w:p>
      <w:pPr>
        <w:pStyle w:val="43"/>
        <w:spacing w:beforeLines="0" w:afterLines="0" w:line="480" w:lineRule="exact"/>
        <w:ind w:firstLine="440" w:firstLineChars="200"/>
        <w:jc w:val="left"/>
        <w:outlineLvl w:val="9"/>
        <w:rPr>
          <w:rFonts w:ascii="宋体" w:hAnsi="宋体"/>
          <w:b w:val="0"/>
          <w:bCs w:val="0"/>
          <w:sz w:val="22"/>
          <w:szCs w:val="22"/>
        </w:rPr>
      </w:pPr>
    </w:p>
    <w:p>
      <w:pPr>
        <w:pStyle w:val="43"/>
        <w:spacing w:beforeLines="0" w:afterLines="0" w:line="480" w:lineRule="exact"/>
        <w:ind w:firstLine="440" w:firstLineChars="200"/>
        <w:jc w:val="left"/>
        <w:outlineLvl w:val="9"/>
        <w:rPr>
          <w:rFonts w:ascii="宋体" w:hAnsi="宋体"/>
          <w:b w:val="0"/>
          <w:bCs w:val="0"/>
          <w:sz w:val="22"/>
          <w:szCs w:val="22"/>
        </w:rPr>
      </w:pPr>
    </w:p>
    <w:p>
      <w:pPr>
        <w:pStyle w:val="43"/>
        <w:spacing w:beforeLines="0" w:afterLines="0" w:line="480" w:lineRule="exact"/>
        <w:ind w:firstLine="440" w:firstLineChars="200"/>
        <w:jc w:val="left"/>
        <w:outlineLvl w:val="9"/>
        <w:rPr>
          <w:rFonts w:ascii="宋体" w:hAnsi="宋体"/>
          <w:b w:val="0"/>
          <w:bCs w:val="0"/>
          <w:sz w:val="22"/>
          <w:szCs w:val="22"/>
        </w:rPr>
      </w:pPr>
    </w:p>
    <w:p>
      <w:pPr>
        <w:pStyle w:val="43"/>
        <w:spacing w:beforeLines="0" w:afterLines="0" w:line="480" w:lineRule="exact"/>
        <w:ind w:firstLine="440" w:firstLineChars="200"/>
        <w:jc w:val="left"/>
        <w:outlineLvl w:val="9"/>
        <w:rPr>
          <w:rFonts w:ascii="宋体" w:hAnsi="宋体"/>
          <w:b w:val="0"/>
          <w:bCs w:val="0"/>
          <w:sz w:val="22"/>
          <w:szCs w:val="22"/>
        </w:rPr>
      </w:pPr>
    </w:p>
    <w:p>
      <w:pPr>
        <w:pStyle w:val="43"/>
        <w:spacing w:beforeLines="0" w:afterLines="0" w:line="480" w:lineRule="exact"/>
        <w:jc w:val="left"/>
        <w:outlineLvl w:val="9"/>
        <w:rPr>
          <w:rFonts w:ascii="宋体" w:hAnsi="宋体"/>
          <w:b w:val="0"/>
          <w:bCs w:val="0"/>
          <w:sz w:val="22"/>
          <w:szCs w:val="22"/>
        </w:rPr>
      </w:pPr>
    </w:p>
    <w:p>
      <w:pPr>
        <w:keepLines/>
        <w:numPr>
          <w:ilvl w:val="0"/>
          <w:numId w:val="2"/>
        </w:numPr>
        <w:spacing w:line="480" w:lineRule="exact"/>
        <w:ind w:left="758" w:hanging="758" w:hangingChars="236"/>
        <w:contextualSpacing/>
        <w:jc w:val="center"/>
        <w:outlineLvl w:val="0"/>
        <w:rPr>
          <w:rFonts w:eastAsia="黑体"/>
          <w:b/>
          <w:bCs/>
          <w:kern w:val="44"/>
          <w:sz w:val="32"/>
          <w:szCs w:val="44"/>
          <w:lang w:val="zh-CN"/>
        </w:rPr>
      </w:pPr>
      <w:bookmarkStart w:id="56" w:name="_Toc19543614"/>
      <w:bookmarkStart w:id="57" w:name="_Toc57400523"/>
      <w:bookmarkStart w:id="58" w:name="_Toc6268"/>
      <w:r>
        <w:rPr>
          <w:rFonts w:hint="eastAsia" w:eastAsia="黑体"/>
          <w:b/>
          <w:bCs/>
          <w:kern w:val="44"/>
          <w:sz w:val="32"/>
          <w:szCs w:val="44"/>
          <w:lang w:val="zh-CN"/>
        </w:rPr>
        <w:t>给排水</w:t>
      </w:r>
      <w:bookmarkEnd w:id="56"/>
      <w:r>
        <w:rPr>
          <w:rFonts w:hint="eastAsia" w:eastAsia="黑体"/>
          <w:b/>
          <w:bCs/>
          <w:kern w:val="44"/>
          <w:sz w:val="32"/>
          <w:szCs w:val="44"/>
          <w:lang w:val="zh-CN"/>
        </w:rPr>
        <w:t>专业</w:t>
      </w:r>
      <w:bookmarkEnd w:id="57"/>
      <w:bookmarkEnd w:id="58"/>
    </w:p>
    <w:p>
      <w:pPr>
        <w:pStyle w:val="81"/>
        <w:adjustRightInd w:val="0"/>
        <w:spacing w:line="480" w:lineRule="exact"/>
        <w:ind w:firstLine="0" w:firstLineChars="0"/>
        <w:jc w:val="left"/>
      </w:pPr>
    </w:p>
    <w:p>
      <w:pPr>
        <w:pStyle w:val="81"/>
        <w:adjustRightInd w:val="0"/>
        <w:spacing w:line="480" w:lineRule="exact"/>
        <w:ind w:firstLine="0" w:firstLineChars="0"/>
        <w:jc w:val="left"/>
      </w:pPr>
      <w:r>
        <w:rPr>
          <w:rFonts w:hint="eastAsia"/>
        </w:rPr>
        <w:t>4.1.1 当排水系统采用非特殊单立管管材及配件时，10层及10层以上的住宅卫生间生活污水立管应设置专用通气立管。</w:t>
      </w:r>
    </w:p>
    <w:p>
      <w:pPr>
        <w:pStyle w:val="81"/>
        <w:adjustRightInd w:val="0"/>
        <w:spacing w:line="480" w:lineRule="exact"/>
        <w:ind w:firstLine="0" w:firstLineChars="0"/>
        <w:jc w:val="left"/>
      </w:pPr>
      <w:r>
        <w:rPr>
          <w:rFonts w:hint="eastAsia"/>
        </w:rPr>
        <w:t>4.1.2</w:t>
      </w:r>
      <w:r>
        <w:t xml:space="preserve"> </w:t>
      </w:r>
      <w:r>
        <w:rPr>
          <w:rFonts w:hint="eastAsia"/>
        </w:rPr>
        <w:t>住宅卫生间宜采用不降板同层排水。</w:t>
      </w:r>
    </w:p>
    <w:p>
      <w:pPr>
        <w:pStyle w:val="81"/>
        <w:adjustRightInd w:val="0"/>
        <w:spacing w:line="480" w:lineRule="exact"/>
        <w:ind w:firstLine="0" w:firstLineChars="0"/>
        <w:jc w:val="left"/>
      </w:pPr>
      <w:r>
        <w:rPr>
          <w:rFonts w:hint="eastAsia"/>
        </w:rPr>
        <w:t>4.1.3</w:t>
      </w:r>
      <w:r>
        <w:t xml:space="preserve"> </w:t>
      </w:r>
      <w:r>
        <w:rPr>
          <w:rFonts w:hint="eastAsia"/>
        </w:rPr>
        <w:t>住宅厨房废水和卫生间污水应分别设置单独的出户管道。</w:t>
      </w:r>
    </w:p>
    <w:p>
      <w:pPr>
        <w:pStyle w:val="81"/>
        <w:adjustRightInd w:val="0"/>
        <w:spacing w:line="480" w:lineRule="exact"/>
        <w:ind w:firstLine="0" w:firstLineChars="0"/>
        <w:jc w:val="left"/>
      </w:pPr>
      <w:r>
        <w:rPr>
          <w:rFonts w:hint="eastAsia"/>
        </w:rPr>
        <w:t>4.1.4</w:t>
      </w:r>
      <w:r>
        <w:t xml:space="preserve"> </w:t>
      </w:r>
      <w:r>
        <w:rPr>
          <w:rFonts w:hint="eastAsia"/>
        </w:rPr>
        <w:t>开式太阳能集热系统应采用耐温不小于1</w:t>
      </w:r>
      <w:r>
        <w:t>00</w:t>
      </w:r>
      <w:r>
        <w:rPr>
          <w:rFonts w:hint="eastAsia"/>
        </w:rPr>
        <w:t>℃的金属管材、管件、附件及阀件；闭式太阳能集热系统应采用耐温不小于</w:t>
      </w:r>
      <w:r>
        <w:t>200</w:t>
      </w:r>
      <w:r>
        <w:rPr>
          <w:rFonts w:hint="eastAsia"/>
        </w:rPr>
        <w:t>℃的金属管材、管件、附件及阀件。</w:t>
      </w:r>
    </w:p>
    <w:p>
      <w:pPr>
        <w:pStyle w:val="81"/>
        <w:adjustRightInd w:val="0"/>
        <w:spacing w:line="480" w:lineRule="exact"/>
        <w:ind w:firstLine="0" w:firstLineChars="0"/>
        <w:jc w:val="left"/>
      </w:pPr>
      <w:r>
        <w:rPr>
          <w:rFonts w:hint="eastAsia"/>
        </w:rPr>
        <w:t>4.1.5</w:t>
      </w:r>
      <w:r>
        <w:t xml:space="preserve"> </w:t>
      </w:r>
      <w:r>
        <w:rPr>
          <w:rFonts w:hint="eastAsia"/>
        </w:rPr>
        <w:t>住宅卫生间设有淋浴器的部位应设地漏，洗衣机附近应设置专用地漏或洗衣机排水存水弯，其他部位可不设地漏。</w:t>
      </w:r>
    </w:p>
    <w:p>
      <w:pPr>
        <w:pStyle w:val="81"/>
        <w:adjustRightInd w:val="0"/>
        <w:spacing w:line="480" w:lineRule="exact"/>
        <w:ind w:firstLine="0" w:firstLineChars="0"/>
        <w:jc w:val="left"/>
      </w:pPr>
      <w:r>
        <w:rPr>
          <w:rFonts w:hint="eastAsia"/>
        </w:rPr>
        <w:t>4.1.6</w:t>
      </w:r>
      <w:r>
        <w:t xml:space="preserve"> </w:t>
      </w:r>
      <w:r>
        <w:rPr>
          <w:rFonts w:hint="eastAsia"/>
        </w:rPr>
        <w:t>消防、喷淋系统稳压设备不应毗邻居住用房或在其上层或下层设置。</w:t>
      </w:r>
    </w:p>
    <w:p>
      <w:pPr>
        <w:pStyle w:val="81"/>
        <w:adjustRightInd w:val="0"/>
        <w:spacing w:line="480" w:lineRule="exact"/>
        <w:ind w:firstLine="0" w:firstLineChars="0"/>
        <w:jc w:val="left"/>
      </w:pPr>
      <w:r>
        <w:rPr>
          <w:rFonts w:hint="eastAsia"/>
        </w:rPr>
        <w:t>4.1.7</w:t>
      </w:r>
      <w:r>
        <w:t xml:space="preserve"> </w:t>
      </w:r>
      <w:r>
        <w:rPr>
          <w:rFonts w:hint="eastAsia"/>
        </w:rPr>
        <w:t>除消防电梯以外，住宅普通电梯基坑底部也应设排水设施。</w:t>
      </w:r>
    </w:p>
    <w:p>
      <w:pPr>
        <w:pStyle w:val="81"/>
        <w:adjustRightInd w:val="0"/>
        <w:spacing w:line="480" w:lineRule="exact"/>
        <w:ind w:firstLine="0" w:firstLineChars="0"/>
        <w:jc w:val="left"/>
      </w:pPr>
      <w:r>
        <w:rPr>
          <w:rFonts w:hint="eastAsia"/>
        </w:rPr>
        <w:t>4.1.8</w:t>
      </w:r>
      <w:r>
        <w:t xml:space="preserve"> </w:t>
      </w:r>
      <w:r>
        <w:rPr>
          <w:rFonts w:hint="eastAsia"/>
        </w:rPr>
        <w:t>住宅水管井除设置给水管道和水表外，可以设置消防、喷淋、太阳能等给排水相关管道，水管井尺寸应根据相关规定，在自来水公司要求的基础上增加。</w:t>
      </w:r>
    </w:p>
    <w:p>
      <w:pPr>
        <w:pStyle w:val="81"/>
        <w:adjustRightInd w:val="0"/>
        <w:spacing w:line="480" w:lineRule="exact"/>
        <w:ind w:firstLine="0" w:firstLineChars="0"/>
        <w:jc w:val="left"/>
      </w:pPr>
      <w:r>
        <w:rPr>
          <w:rFonts w:hint="eastAsia"/>
        </w:rPr>
        <w:t>4.1.9</w:t>
      </w:r>
      <w:r>
        <w:t xml:space="preserve"> </w:t>
      </w:r>
      <w:r>
        <w:rPr>
          <w:rFonts w:hint="eastAsia"/>
        </w:rPr>
        <w:t>排水立管不宜靠近与卧室相邻的内墙布置，当必须靠近与卧室相邻的内墙时，应采用低噪声管材。</w:t>
      </w:r>
    </w:p>
    <w:p>
      <w:pPr>
        <w:pStyle w:val="81"/>
        <w:adjustRightInd w:val="0"/>
        <w:spacing w:line="480" w:lineRule="exact"/>
        <w:ind w:firstLine="0" w:firstLineChars="0"/>
        <w:jc w:val="left"/>
      </w:pPr>
      <w:r>
        <w:rPr>
          <w:rFonts w:hint="eastAsia"/>
        </w:rPr>
        <w:t>4.1.10</w:t>
      </w:r>
      <w:r>
        <w:t xml:space="preserve"> </w:t>
      </w:r>
      <w:r>
        <w:rPr>
          <w:rFonts w:hint="eastAsia"/>
        </w:rPr>
        <w:t>水泵房不应布置在住宅主体建筑内，不应与住户直接贴邻布置；水泵房内水泵等设备应采用低噪声设备；设备基础、管道等应采取隔声、减振、消声等措施。</w:t>
      </w:r>
    </w:p>
    <w:p>
      <w:pPr>
        <w:pStyle w:val="43"/>
        <w:spacing w:beforeLines="0" w:afterLines="0" w:line="480" w:lineRule="exact"/>
        <w:jc w:val="left"/>
        <w:outlineLvl w:val="9"/>
        <w:rPr>
          <w:rFonts w:ascii="楷体" w:hAnsi="楷体" w:eastAsia="楷体"/>
          <w:sz w:val="24"/>
          <w:szCs w:val="22"/>
          <w:shd w:val="pct10" w:color="auto" w:fill="FFFFFF"/>
        </w:rPr>
      </w:pPr>
    </w:p>
    <w:p>
      <w:pPr>
        <w:pStyle w:val="43"/>
        <w:spacing w:beforeLines="0" w:afterLines="0" w:line="480" w:lineRule="exact"/>
        <w:jc w:val="left"/>
        <w:outlineLvl w:val="9"/>
        <w:rPr>
          <w:rFonts w:ascii="楷体" w:hAnsi="楷体" w:eastAsia="楷体"/>
          <w:sz w:val="24"/>
          <w:szCs w:val="22"/>
          <w:shd w:val="pct10" w:color="auto" w:fill="FFFFFF"/>
        </w:rPr>
      </w:pPr>
    </w:p>
    <w:p>
      <w:pPr>
        <w:pStyle w:val="43"/>
        <w:spacing w:beforeLines="0" w:afterLines="0" w:line="480" w:lineRule="exact"/>
        <w:jc w:val="left"/>
        <w:outlineLvl w:val="9"/>
        <w:rPr>
          <w:rFonts w:ascii="楷体" w:hAnsi="楷体" w:eastAsia="楷体"/>
          <w:sz w:val="24"/>
          <w:szCs w:val="22"/>
          <w:shd w:val="pct10" w:color="auto" w:fill="FFFFFF"/>
        </w:rPr>
      </w:pPr>
    </w:p>
    <w:p>
      <w:pPr>
        <w:pStyle w:val="43"/>
        <w:spacing w:beforeLines="0" w:afterLines="0" w:line="480" w:lineRule="exact"/>
        <w:jc w:val="left"/>
        <w:outlineLvl w:val="9"/>
        <w:rPr>
          <w:rFonts w:ascii="楷体" w:hAnsi="楷体" w:eastAsia="楷体"/>
          <w:sz w:val="24"/>
          <w:szCs w:val="22"/>
          <w:shd w:val="pct10" w:color="auto" w:fill="FFFFFF"/>
        </w:rPr>
      </w:pPr>
    </w:p>
    <w:p>
      <w:pPr>
        <w:pStyle w:val="43"/>
        <w:spacing w:beforeLines="0" w:afterLines="0" w:line="480" w:lineRule="exact"/>
        <w:jc w:val="left"/>
        <w:outlineLvl w:val="9"/>
        <w:rPr>
          <w:rFonts w:ascii="楷体" w:hAnsi="楷体" w:eastAsia="楷体"/>
          <w:sz w:val="24"/>
          <w:szCs w:val="22"/>
          <w:shd w:val="pct10" w:color="auto" w:fill="FFFFFF"/>
        </w:rPr>
      </w:pPr>
    </w:p>
    <w:p>
      <w:pPr>
        <w:pStyle w:val="43"/>
        <w:spacing w:beforeLines="0" w:afterLines="0" w:line="480" w:lineRule="exact"/>
        <w:jc w:val="left"/>
        <w:outlineLvl w:val="9"/>
        <w:rPr>
          <w:rFonts w:ascii="楷体" w:hAnsi="楷体" w:eastAsia="楷体"/>
          <w:sz w:val="24"/>
          <w:szCs w:val="22"/>
          <w:shd w:val="pct10" w:color="auto" w:fill="FFFFFF"/>
        </w:rPr>
      </w:pPr>
    </w:p>
    <w:p>
      <w:pPr>
        <w:pStyle w:val="43"/>
        <w:spacing w:beforeLines="0" w:afterLines="0" w:line="480" w:lineRule="exact"/>
        <w:jc w:val="left"/>
        <w:outlineLvl w:val="9"/>
        <w:rPr>
          <w:rFonts w:ascii="楷体" w:hAnsi="楷体" w:eastAsia="楷体"/>
          <w:sz w:val="24"/>
          <w:szCs w:val="22"/>
          <w:shd w:val="pct10" w:color="auto" w:fill="FFFFFF"/>
        </w:rPr>
      </w:pPr>
    </w:p>
    <w:p>
      <w:pPr>
        <w:pStyle w:val="43"/>
        <w:spacing w:beforeLines="0" w:afterLines="0" w:line="480" w:lineRule="exact"/>
        <w:jc w:val="left"/>
        <w:outlineLvl w:val="9"/>
        <w:rPr>
          <w:rFonts w:hint="eastAsia" w:ascii="楷体" w:hAnsi="楷体" w:eastAsia="楷体"/>
          <w:sz w:val="24"/>
          <w:szCs w:val="22"/>
          <w:shd w:val="pct10" w:color="auto" w:fill="FFFFFF"/>
        </w:rPr>
      </w:pPr>
    </w:p>
    <w:p>
      <w:pPr>
        <w:pStyle w:val="43"/>
        <w:spacing w:beforeLines="0" w:afterLines="0" w:line="480" w:lineRule="exact"/>
        <w:jc w:val="left"/>
        <w:outlineLvl w:val="9"/>
        <w:rPr>
          <w:rFonts w:ascii="楷体" w:hAnsi="楷体" w:eastAsia="楷体"/>
          <w:sz w:val="24"/>
          <w:szCs w:val="22"/>
          <w:shd w:val="pct10" w:color="auto" w:fill="FFFFFF"/>
        </w:rPr>
      </w:pPr>
    </w:p>
    <w:p>
      <w:pPr>
        <w:pStyle w:val="43"/>
        <w:spacing w:beforeLines="0" w:afterLines="0" w:line="480" w:lineRule="exact"/>
        <w:jc w:val="left"/>
        <w:outlineLvl w:val="9"/>
        <w:rPr>
          <w:rFonts w:ascii="宋体" w:hAnsi="宋体"/>
          <w:b w:val="0"/>
          <w:bCs w:val="0"/>
          <w:sz w:val="22"/>
          <w:szCs w:val="22"/>
        </w:rPr>
      </w:pPr>
    </w:p>
    <w:p>
      <w:pPr>
        <w:keepLines/>
        <w:numPr>
          <w:ilvl w:val="0"/>
          <w:numId w:val="2"/>
        </w:numPr>
        <w:spacing w:line="480" w:lineRule="exact"/>
        <w:ind w:left="758" w:hanging="758" w:hangingChars="236"/>
        <w:contextualSpacing/>
        <w:jc w:val="center"/>
        <w:outlineLvl w:val="0"/>
        <w:rPr>
          <w:rFonts w:eastAsia="黑体"/>
          <w:b/>
          <w:bCs/>
          <w:kern w:val="44"/>
          <w:sz w:val="32"/>
          <w:szCs w:val="44"/>
          <w:lang w:val="zh-CN"/>
        </w:rPr>
      </w:pPr>
      <w:bookmarkStart w:id="59" w:name="_Toc57400533"/>
      <w:bookmarkStart w:id="60" w:name="_Toc14487"/>
      <w:bookmarkStart w:id="61" w:name="_Toc380965758"/>
      <w:r>
        <w:rPr>
          <w:rFonts w:hint="eastAsia" w:eastAsia="黑体"/>
          <w:b/>
          <w:bCs/>
          <w:kern w:val="44"/>
          <w:sz w:val="32"/>
          <w:szCs w:val="44"/>
          <w:lang w:val="zh-CN"/>
        </w:rPr>
        <w:t>电气专业</w:t>
      </w:r>
      <w:bookmarkEnd w:id="59"/>
      <w:bookmarkEnd w:id="60"/>
    </w:p>
    <w:bookmarkEnd w:id="61"/>
    <w:p>
      <w:pPr>
        <w:pStyle w:val="81"/>
        <w:adjustRightInd w:val="0"/>
        <w:spacing w:line="480" w:lineRule="exact"/>
        <w:ind w:firstLine="0" w:firstLineChars="0"/>
        <w:jc w:val="left"/>
      </w:pPr>
    </w:p>
    <w:p>
      <w:pPr>
        <w:pStyle w:val="81"/>
        <w:adjustRightInd w:val="0"/>
        <w:spacing w:line="480" w:lineRule="exact"/>
        <w:ind w:firstLine="0" w:firstLineChars="0"/>
        <w:jc w:val="left"/>
      </w:pPr>
      <w:r>
        <w:rPr>
          <w:rFonts w:hint="eastAsia"/>
        </w:rPr>
        <w:t>5.1.1 消防控制室、安防系统机房、消防水泵房、生活泵房、网络通讯信息主机房等设备用房的负荷等级应满足所服务区域中相关系统的负荷等级要求。</w:t>
      </w:r>
    </w:p>
    <w:p>
      <w:pPr>
        <w:pStyle w:val="81"/>
        <w:adjustRightInd w:val="0"/>
        <w:spacing w:line="480" w:lineRule="exact"/>
        <w:ind w:firstLine="0" w:firstLineChars="0"/>
        <w:jc w:val="left"/>
      </w:pPr>
      <w:r>
        <w:rPr>
          <w:rFonts w:hint="eastAsia"/>
        </w:rPr>
        <w:t>5.1.2</w:t>
      </w:r>
      <w:r>
        <w:t xml:space="preserve"> </w:t>
      </w:r>
      <w:r>
        <w:rPr>
          <w:rFonts w:hint="eastAsia"/>
        </w:rPr>
        <w:t>建筑高度大于2</w:t>
      </w:r>
      <w:r>
        <w:t>7m</w:t>
      </w:r>
      <w:r>
        <w:rPr>
          <w:rFonts w:hint="eastAsia"/>
        </w:rPr>
        <w:t>的高层住宅建筑公共部位线缆应选用低烟、低毒的阻燃类线缆，消防线缆应满足火灾时持续供电的要求。</w:t>
      </w:r>
    </w:p>
    <w:p>
      <w:pPr>
        <w:pStyle w:val="81"/>
        <w:adjustRightInd w:val="0"/>
        <w:spacing w:line="480" w:lineRule="exact"/>
        <w:ind w:firstLine="0" w:firstLineChars="0"/>
        <w:jc w:val="left"/>
      </w:pPr>
      <w:r>
        <w:rPr>
          <w:rFonts w:hint="eastAsia"/>
        </w:rPr>
        <w:t>5.1.3</w:t>
      </w:r>
      <w:r>
        <w:t xml:space="preserve"> </w:t>
      </w:r>
      <w:r>
        <w:rPr>
          <w:rFonts w:hint="eastAsia"/>
        </w:rPr>
        <w:t>消防设备配电线缆不应与非消防配电线缆共用电缆桥架。</w:t>
      </w:r>
    </w:p>
    <w:p>
      <w:pPr>
        <w:pStyle w:val="81"/>
        <w:adjustRightInd w:val="0"/>
        <w:spacing w:line="480" w:lineRule="exact"/>
        <w:ind w:firstLine="0" w:firstLineChars="0"/>
        <w:jc w:val="left"/>
      </w:pPr>
      <w:r>
        <w:rPr>
          <w:rFonts w:hint="eastAsia"/>
        </w:rPr>
        <w:t>5.1.4</w:t>
      </w:r>
      <w:bookmarkStart w:id="62" w:name="_Toc57400537"/>
      <w:r>
        <w:t xml:space="preserve"> </w:t>
      </w:r>
      <w:r>
        <w:rPr>
          <w:rFonts w:hint="eastAsia"/>
        </w:rPr>
        <w:t>线缆成束敷设于槽盒或者桥架等同一通道内时，阻燃特性分类不应低于表5.1.4</w:t>
      </w:r>
      <w:r>
        <w:t>-1</w:t>
      </w:r>
      <w:r>
        <w:rPr>
          <w:rFonts w:hint="eastAsia"/>
        </w:rPr>
        <w:t>的规定，同一通道内电缆、电线的非金属材料体积不应超过表5.1.</w:t>
      </w:r>
      <w:r>
        <w:t>4-2</w:t>
      </w:r>
      <w:r>
        <w:rPr>
          <w:rFonts w:hint="eastAsia"/>
        </w:rPr>
        <w:t>、5.1.</w:t>
      </w:r>
      <w:r>
        <w:t>4</w:t>
      </w:r>
      <w:r>
        <w:rPr>
          <w:rFonts w:hint="eastAsia"/>
        </w:rPr>
        <w:t>-</w:t>
      </w:r>
      <w:r>
        <w:t>3</w:t>
      </w:r>
      <w:r>
        <w:rPr>
          <w:rFonts w:hint="eastAsia"/>
        </w:rPr>
        <w:t>的规定。</w:t>
      </w:r>
    </w:p>
    <w:p>
      <w:pPr>
        <w:pStyle w:val="81"/>
        <w:adjustRightInd w:val="0"/>
        <w:spacing w:line="480" w:lineRule="exact"/>
        <w:ind w:firstLine="0" w:firstLineChars="0"/>
        <w:jc w:val="left"/>
        <w:rPr>
          <w:rFonts w:ascii="宋体" w:hAnsi="宋体"/>
          <w:b/>
          <w:bCs/>
          <w:sz w:val="22"/>
          <w:szCs w:val="22"/>
        </w:rPr>
      </w:pPr>
      <w:r>
        <w:rPr>
          <w:rFonts w:hint="eastAsia" w:ascii="宋体" w:hAnsi="宋体"/>
          <w:sz w:val="22"/>
          <w:szCs w:val="22"/>
        </w:rPr>
        <w:t>表5.1.4</w:t>
      </w:r>
      <w:r>
        <w:rPr>
          <w:rFonts w:ascii="宋体" w:hAnsi="宋体"/>
          <w:sz w:val="22"/>
          <w:szCs w:val="22"/>
        </w:rPr>
        <w:t>-1</w:t>
      </w:r>
      <w:r>
        <w:rPr>
          <w:rFonts w:hint="eastAsia" w:ascii="宋体" w:hAnsi="宋体"/>
          <w:sz w:val="22"/>
          <w:szCs w:val="22"/>
        </w:rPr>
        <w:t>电线电缆的阻燃特性分类选择</w:t>
      </w:r>
      <w:bookmarkEnd w:id="62"/>
    </w:p>
    <w:tbl>
      <w:tblPr>
        <w:tblStyle w:val="31"/>
        <w:tblW w:w="71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6"/>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56" w:type="dxa"/>
            <w:vAlign w:val="center"/>
          </w:tcPr>
          <w:p>
            <w:pPr>
              <w:pStyle w:val="43"/>
              <w:spacing w:beforeLines="0" w:afterLines="0" w:line="480" w:lineRule="exact"/>
              <w:ind w:firstLine="440" w:firstLineChars="200"/>
              <w:jc w:val="left"/>
              <w:outlineLvl w:val="9"/>
              <w:rPr>
                <w:rFonts w:ascii="宋体" w:hAnsi="宋体"/>
                <w:b w:val="0"/>
                <w:bCs w:val="0"/>
                <w:sz w:val="22"/>
                <w:szCs w:val="22"/>
              </w:rPr>
            </w:pPr>
            <w:bookmarkStart w:id="63" w:name="_Toc28683"/>
            <w:bookmarkStart w:id="64" w:name="_Toc57400538"/>
            <w:r>
              <w:rPr>
                <w:rFonts w:hint="eastAsia" w:ascii="宋体" w:hAnsi="宋体"/>
                <w:b w:val="0"/>
                <w:bCs w:val="0"/>
                <w:sz w:val="22"/>
                <w:szCs w:val="22"/>
              </w:rPr>
              <w:t>使用场所</w:t>
            </w:r>
            <w:bookmarkEnd w:id="63"/>
            <w:bookmarkEnd w:id="64"/>
          </w:p>
        </w:tc>
        <w:tc>
          <w:tcPr>
            <w:tcW w:w="1701" w:type="dxa"/>
            <w:vAlign w:val="center"/>
          </w:tcPr>
          <w:p>
            <w:pPr>
              <w:pStyle w:val="43"/>
              <w:spacing w:beforeLines="0" w:afterLines="0" w:line="480" w:lineRule="exact"/>
              <w:ind w:hanging="1"/>
              <w:jc w:val="left"/>
              <w:outlineLvl w:val="9"/>
              <w:rPr>
                <w:rFonts w:ascii="宋体" w:hAnsi="宋体"/>
                <w:b w:val="0"/>
                <w:bCs w:val="0"/>
                <w:sz w:val="22"/>
                <w:szCs w:val="22"/>
              </w:rPr>
            </w:pPr>
            <w:bookmarkStart w:id="65" w:name="_Toc21023"/>
            <w:bookmarkStart w:id="66" w:name="_Toc57400539"/>
            <w:r>
              <w:rPr>
                <w:rFonts w:hint="eastAsia" w:ascii="宋体" w:hAnsi="宋体"/>
                <w:b w:val="0"/>
                <w:bCs w:val="0"/>
                <w:sz w:val="22"/>
                <w:szCs w:val="22"/>
              </w:rPr>
              <w:t>电缆阻燃类别</w:t>
            </w:r>
            <w:bookmarkEnd w:id="65"/>
            <w:bookmarkEnd w:id="66"/>
          </w:p>
        </w:tc>
        <w:tc>
          <w:tcPr>
            <w:tcW w:w="1701" w:type="dxa"/>
            <w:vAlign w:val="center"/>
          </w:tcPr>
          <w:p>
            <w:pPr>
              <w:pStyle w:val="43"/>
              <w:spacing w:beforeLines="0" w:afterLines="0" w:line="480" w:lineRule="exact"/>
              <w:ind w:hanging="1"/>
              <w:jc w:val="left"/>
              <w:outlineLvl w:val="9"/>
              <w:rPr>
                <w:rFonts w:ascii="宋体" w:hAnsi="宋体"/>
                <w:b w:val="0"/>
                <w:bCs w:val="0"/>
                <w:sz w:val="22"/>
                <w:szCs w:val="22"/>
              </w:rPr>
            </w:pPr>
            <w:bookmarkStart w:id="67" w:name="_Toc57400540"/>
            <w:bookmarkStart w:id="68" w:name="_Toc3401"/>
            <w:r>
              <w:rPr>
                <w:rFonts w:hint="eastAsia" w:ascii="宋体" w:hAnsi="宋体"/>
                <w:b w:val="0"/>
                <w:bCs w:val="0"/>
                <w:sz w:val="22"/>
                <w:szCs w:val="22"/>
              </w:rPr>
              <w:t>电线阻燃类别</w:t>
            </w:r>
            <w:bookmarkEnd w:id="67"/>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56" w:type="dxa"/>
            <w:vAlign w:val="center"/>
          </w:tcPr>
          <w:p>
            <w:pPr>
              <w:pStyle w:val="43"/>
              <w:spacing w:beforeLines="0" w:afterLines="0" w:line="480" w:lineRule="exact"/>
              <w:jc w:val="left"/>
              <w:outlineLvl w:val="9"/>
              <w:rPr>
                <w:rFonts w:ascii="宋体" w:hAnsi="宋体"/>
                <w:b w:val="0"/>
                <w:bCs w:val="0"/>
                <w:sz w:val="22"/>
                <w:szCs w:val="22"/>
              </w:rPr>
            </w:pPr>
            <w:bookmarkStart w:id="69" w:name="_Toc29765"/>
            <w:bookmarkStart w:id="70" w:name="_Toc57400541"/>
            <w:r>
              <w:rPr>
                <w:rFonts w:hint="eastAsia" w:ascii="宋体" w:hAnsi="宋体"/>
                <w:b w:val="0"/>
                <w:bCs w:val="0"/>
                <w:sz w:val="22"/>
                <w:szCs w:val="22"/>
              </w:rPr>
              <w:t>一类高层住宅建筑、Ⅰ类汽车库</w:t>
            </w:r>
            <w:bookmarkEnd w:id="69"/>
            <w:bookmarkEnd w:id="70"/>
          </w:p>
        </w:tc>
        <w:tc>
          <w:tcPr>
            <w:tcW w:w="1701" w:type="dxa"/>
            <w:vAlign w:val="center"/>
          </w:tcPr>
          <w:p>
            <w:pPr>
              <w:pStyle w:val="43"/>
              <w:spacing w:beforeLines="0" w:afterLines="0" w:line="480" w:lineRule="exact"/>
              <w:ind w:firstLine="440" w:firstLineChars="200"/>
              <w:jc w:val="left"/>
              <w:outlineLvl w:val="9"/>
              <w:rPr>
                <w:rFonts w:ascii="宋体" w:hAnsi="宋体"/>
                <w:b w:val="0"/>
                <w:bCs w:val="0"/>
                <w:sz w:val="22"/>
                <w:szCs w:val="22"/>
              </w:rPr>
            </w:pPr>
            <w:bookmarkStart w:id="71" w:name="_Toc32725"/>
            <w:bookmarkStart w:id="72" w:name="_Toc57400542"/>
            <w:r>
              <w:rPr>
                <w:rFonts w:hint="eastAsia" w:ascii="宋体" w:hAnsi="宋体"/>
                <w:b w:val="0"/>
                <w:bCs w:val="0"/>
                <w:sz w:val="22"/>
                <w:szCs w:val="22"/>
              </w:rPr>
              <w:t>B类</w:t>
            </w:r>
            <w:bookmarkEnd w:id="71"/>
            <w:bookmarkEnd w:id="72"/>
          </w:p>
        </w:tc>
        <w:tc>
          <w:tcPr>
            <w:tcW w:w="1701" w:type="dxa"/>
            <w:vAlign w:val="center"/>
          </w:tcPr>
          <w:p>
            <w:pPr>
              <w:pStyle w:val="43"/>
              <w:spacing w:beforeLines="0" w:afterLines="0" w:line="480" w:lineRule="exact"/>
              <w:ind w:firstLine="440" w:firstLineChars="200"/>
              <w:jc w:val="left"/>
              <w:outlineLvl w:val="9"/>
              <w:rPr>
                <w:rFonts w:ascii="宋体" w:hAnsi="宋体"/>
                <w:b w:val="0"/>
                <w:bCs w:val="0"/>
                <w:sz w:val="22"/>
                <w:szCs w:val="22"/>
              </w:rPr>
            </w:pPr>
            <w:bookmarkStart w:id="73" w:name="_Toc15822"/>
            <w:bookmarkStart w:id="74" w:name="_Toc57400543"/>
            <w:r>
              <w:rPr>
                <w:rFonts w:hint="eastAsia" w:ascii="宋体" w:hAnsi="宋体"/>
                <w:b w:val="0"/>
                <w:bCs w:val="0"/>
                <w:sz w:val="22"/>
                <w:szCs w:val="22"/>
              </w:rPr>
              <w:t>C类</w:t>
            </w:r>
            <w:bookmarkEnd w:id="73"/>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56" w:type="dxa"/>
            <w:vAlign w:val="center"/>
          </w:tcPr>
          <w:p>
            <w:pPr>
              <w:pStyle w:val="43"/>
              <w:spacing w:beforeLines="0" w:afterLines="0" w:line="480" w:lineRule="exact"/>
              <w:jc w:val="left"/>
              <w:outlineLvl w:val="9"/>
              <w:rPr>
                <w:rFonts w:ascii="宋体" w:hAnsi="宋体"/>
                <w:b w:val="0"/>
                <w:bCs w:val="0"/>
                <w:sz w:val="22"/>
                <w:szCs w:val="22"/>
              </w:rPr>
            </w:pPr>
            <w:bookmarkStart w:id="75" w:name="_Toc57400544"/>
            <w:bookmarkStart w:id="76" w:name="_Toc15195"/>
            <w:r>
              <w:rPr>
                <w:rFonts w:hint="eastAsia" w:ascii="宋体" w:hAnsi="宋体"/>
                <w:b w:val="0"/>
                <w:bCs w:val="0"/>
                <w:sz w:val="22"/>
                <w:szCs w:val="22"/>
              </w:rPr>
              <w:t>二类高层住宅建筑、Ⅱ～Ⅳ类汽车库</w:t>
            </w:r>
            <w:bookmarkEnd w:id="75"/>
            <w:bookmarkEnd w:id="76"/>
          </w:p>
        </w:tc>
        <w:tc>
          <w:tcPr>
            <w:tcW w:w="1701" w:type="dxa"/>
            <w:vAlign w:val="center"/>
          </w:tcPr>
          <w:p>
            <w:pPr>
              <w:pStyle w:val="43"/>
              <w:spacing w:beforeLines="0" w:afterLines="0" w:line="480" w:lineRule="exact"/>
              <w:ind w:firstLine="440" w:firstLineChars="200"/>
              <w:jc w:val="left"/>
              <w:outlineLvl w:val="9"/>
              <w:rPr>
                <w:rFonts w:ascii="宋体" w:hAnsi="宋体"/>
                <w:b w:val="0"/>
                <w:bCs w:val="0"/>
                <w:sz w:val="22"/>
                <w:szCs w:val="22"/>
              </w:rPr>
            </w:pPr>
            <w:bookmarkStart w:id="77" w:name="_Toc57400545"/>
            <w:bookmarkStart w:id="78" w:name="_Toc20472"/>
            <w:r>
              <w:rPr>
                <w:rFonts w:hint="eastAsia" w:ascii="宋体" w:hAnsi="宋体"/>
                <w:b w:val="0"/>
                <w:bCs w:val="0"/>
                <w:sz w:val="22"/>
                <w:szCs w:val="22"/>
              </w:rPr>
              <w:t>C类</w:t>
            </w:r>
            <w:bookmarkEnd w:id="77"/>
            <w:bookmarkEnd w:id="78"/>
          </w:p>
        </w:tc>
        <w:tc>
          <w:tcPr>
            <w:tcW w:w="1701" w:type="dxa"/>
            <w:vAlign w:val="center"/>
          </w:tcPr>
          <w:p>
            <w:pPr>
              <w:pStyle w:val="43"/>
              <w:spacing w:beforeLines="0" w:afterLines="0" w:line="480" w:lineRule="exact"/>
              <w:ind w:firstLine="440" w:firstLineChars="200"/>
              <w:jc w:val="left"/>
              <w:outlineLvl w:val="9"/>
              <w:rPr>
                <w:rFonts w:ascii="宋体" w:hAnsi="宋体"/>
                <w:b w:val="0"/>
                <w:bCs w:val="0"/>
                <w:sz w:val="22"/>
                <w:szCs w:val="22"/>
              </w:rPr>
            </w:pPr>
            <w:bookmarkStart w:id="79" w:name="_Toc57400546"/>
            <w:bookmarkStart w:id="80" w:name="_Toc3908"/>
            <w:r>
              <w:rPr>
                <w:rFonts w:hint="eastAsia" w:ascii="宋体" w:hAnsi="宋体"/>
                <w:b w:val="0"/>
                <w:bCs w:val="0"/>
                <w:sz w:val="22"/>
                <w:szCs w:val="22"/>
              </w:rPr>
              <w:t>D类</w:t>
            </w:r>
            <w:bookmarkEnd w:id="79"/>
            <w:bookmarkEnd w:id="80"/>
          </w:p>
        </w:tc>
      </w:tr>
    </w:tbl>
    <w:p>
      <w:pPr>
        <w:pStyle w:val="43"/>
        <w:spacing w:beforeLines="0" w:afterLines="0" w:line="480" w:lineRule="exact"/>
        <w:ind w:firstLine="440" w:firstLineChars="200"/>
        <w:jc w:val="left"/>
        <w:outlineLvl w:val="9"/>
        <w:rPr>
          <w:rFonts w:ascii="宋体" w:hAnsi="宋体"/>
          <w:b w:val="0"/>
          <w:bCs w:val="0"/>
          <w:sz w:val="22"/>
          <w:szCs w:val="22"/>
        </w:rPr>
      </w:pPr>
      <w:bookmarkStart w:id="81" w:name="_Toc57400547"/>
      <w:bookmarkStart w:id="82" w:name="_Toc11049"/>
      <w:r>
        <w:rPr>
          <w:rFonts w:hint="eastAsia" w:ascii="宋体" w:hAnsi="宋体"/>
          <w:b w:val="0"/>
          <w:bCs w:val="0"/>
          <w:sz w:val="22"/>
          <w:szCs w:val="22"/>
        </w:rPr>
        <w:t>注：电线电缆的阻燃特性分类应根据同一敷设通道内电线电缆的非金属材料体积确定。</w:t>
      </w:r>
      <w:bookmarkEnd w:id="81"/>
      <w:bookmarkEnd w:id="82"/>
    </w:p>
    <w:p>
      <w:pPr>
        <w:pStyle w:val="43"/>
        <w:spacing w:beforeLines="0" w:afterLines="0" w:line="480" w:lineRule="exact"/>
        <w:ind w:firstLine="440" w:firstLineChars="200"/>
        <w:jc w:val="left"/>
        <w:outlineLvl w:val="9"/>
        <w:rPr>
          <w:rFonts w:ascii="宋体" w:hAnsi="宋体"/>
          <w:b w:val="0"/>
          <w:bCs w:val="0"/>
          <w:sz w:val="22"/>
          <w:szCs w:val="22"/>
        </w:rPr>
      </w:pPr>
    </w:p>
    <w:p>
      <w:pPr>
        <w:pStyle w:val="43"/>
        <w:spacing w:beforeLines="0" w:afterLines="0" w:line="480" w:lineRule="exact"/>
        <w:ind w:firstLine="440" w:firstLineChars="200"/>
        <w:jc w:val="left"/>
        <w:outlineLvl w:val="9"/>
        <w:rPr>
          <w:rFonts w:ascii="宋体" w:hAnsi="宋体"/>
          <w:b w:val="0"/>
          <w:bCs w:val="0"/>
          <w:sz w:val="22"/>
          <w:szCs w:val="22"/>
        </w:rPr>
      </w:pPr>
      <w:bookmarkStart w:id="83" w:name="_Toc57400548"/>
      <w:bookmarkStart w:id="84" w:name="_Toc5776"/>
      <w:r>
        <w:rPr>
          <w:rFonts w:hint="eastAsia" w:ascii="宋体" w:hAnsi="宋体"/>
          <w:b w:val="0"/>
          <w:bCs w:val="0"/>
          <w:sz w:val="22"/>
          <w:szCs w:val="22"/>
        </w:rPr>
        <w:t>表5.1.</w:t>
      </w:r>
      <w:r>
        <w:rPr>
          <w:rFonts w:ascii="宋体" w:hAnsi="宋体"/>
          <w:b w:val="0"/>
          <w:bCs w:val="0"/>
          <w:sz w:val="22"/>
          <w:szCs w:val="22"/>
        </w:rPr>
        <w:t>4</w:t>
      </w:r>
      <w:r>
        <w:rPr>
          <w:rFonts w:hint="eastAsia" w:ascii="宋体" w:hAnsi="宋体"/>
          <w:b w:val="0"/>
          <w:bCs w:val="0"/>
          <w:sz w:val="22"/>
          <w:szCs w:val="22"/>
        </w:rPr>
        <w:t>-</w:t>
      </w:r>
      <w:r>
        <w:rPr>
          <w:rFonts w:ascii="宋体" w:hAnsi="宋体"/>
          <w:b w:val="0"/>
          <w:bCs w:val="0"/>
          <w:sz w:val="22"/>
          <w:szCs w:val="22"/>
        </w:rPr>
        <w:t>2</w:t>
      </w:r>
      <w:r>
        <w:rPr>
          <w:rFonts w:hint="eastAsia" w:ascii="宋体" w:hAnsi="宋体"/>
          <w:b w:val="0"/>
          <w:bCs w:val="0"/>
          <w:sz w:val="22"/>
          <w:szCs w:val="22"/>
        </w:rPr>
        <w:t>同一通道电缆非金属材料体积限值</w:t>
      </w:r>
      <w:bookmarkEnd w:id="83"/>
      <w:bookmarkEnd w:id="84"/>
    </w:p>
    <w:tbl>
      <w:tblPr>
        <w:tblStyle w:val="31"/>
        <w:tblW w:w="7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61" w:type="dxa"/>
          </w:tcPr>
          <w:p>
            <w:pPr>
              <w:pStyle w:val="43"/>
              <w:spacing w:beforeLines="0" w:afterLines="0" w:line="480" w:lineRule="exact"/>
              <w:ind w:firstLine="440" w:firstLineChars="200"/>
              <w:jc w:val="left"/>
              <w:outlineLvl w:val="9"/>
              <w:rPr>
                <w:rFonts w:ascii="宋体" w:hAnsi="宋体"/>
                <w:b w:val="0"/>
                <w:bCs w:val="0"/>
                <w:sz w:val="22"/>
                <w:szCs w:val="22"/>
              </w:rPr>
            </w:pPr>
            <w:bookmarkStart w:id="85" w:name="_Toc29125"/>
            <w:bookmarkStart w:id="86" w:name="_Toc57400549"/>
            <w:r>
              <w:rPr>
                <w:rFonts w:hint="eastAsia" w:ascii="宋体" w:hAnsi="宋体"/>
                <w:b w:val="0"/>
                <w:bCs w:val="0"/>
                <w:sz w:val="22"/>
                <w:szCs w:val="22"/>
              </w:rPr>
              <w:t>阻燃类别</w:t>
            </w:r>
            <w:bookmarkEnd w:id="85"/>
            <w:bookmarkEnd w:id="86"/>
          </w:p>
        </w:tc>
        <w:tc>
          <w:tcPr>
            <w:tcW w:w="3969" w:type="dxa"/>
          </w:tcPr>
          <w:p>
            <w:pPr>
              <w:pStyle w:val="43"/>
              <w:spacing w:beforeLines="0" w:afterLines="0" w:line="480" w:lineRule="exact"/>
              <w:ind w:firstLine="440" w:firstLineChars="200"/>
              <w:jc w:val="left"/>
              <w:outlineLvl w:val="9"/>
              <w:rPr>
                <w:rFonts w:ascii="宋体" w:hAnsi="宋体"/>
                <w:b w:val="0"/>
                <w:bCs w:val="0"/>
                <w:sz w:val="22"/>
                <w:szCs w:val="22"/>
              </w:rPr>
            </w:pPr>
            <w:bookmarkStart w:id="87" w:name="_Toc57400550"/>
            <w:bookmarkStart w:id="88" w:name="_Toc14293"/>
            <w:r>
              <w:rPr>
                <w:rFonts w:hint="eastAsia" w:ascii="宋体" w:hAnsi="宋体"/>
                <w:b w:val="0"/>
                <w:bCs w:val="0"/>
                <w:sz w:val="22"/>
                <w:szCs w:val="22"/>
              </w:rPr>
              <w:t>非金属材料体积</w:t>
            </w:r>
            <w:bookmarkEnd w:id="87"/>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61" w:type="dxa"/>
          </w:tcPr>
          <w:p>
            <w:pPr>
              <w:pStyle w:val="43"/>
              <w:spacing w:beforeLines="0" w:afterLines="0" w:line="480" w:lineRule="exact"/>
              <w:ind w:firstLine="440" w:firstLineChars="200"/>
              <w:jc w:val="left"/>
              <w:outlineLvl w:val="9"/>
              <w:rPr>
                <w:rFonts w:ascii="宋体" w:hAnsi="宋体"/>
                <w:b w:val="0"/>
                <w:bCs w:val="0"/>
                <w:sz w:val="22"/>
                <w:szCs w:val="22"/>
              </w:rPr>
            </w:pPr>
            <w:bookmarkStart w:id="89" w:name="_Toc3785"/>
            <w:bookmarkStart w:id="90" w:name="_Toc57400551"/>
            <w:r>
              <w:rPr>
                <w:rFonts w:hint="eastAsia" w:ascii="宋体" w:hAnsi="宋体"/>
                <w:b w:val="0"/>
                <w:bCs w:val="0"/>
                <w:sz w:val="22"/>
                <w:szCs w:val="22"/>
              </w:rPr>
              <w:t>A类</w:t>
            </w:r>
            <w:bookmarkEnd w:id="89"/>
            <w:bookmarkEnd w:id="90"/>
          </w:p>
        </w:tc>
        <w:tc>
          <w:tcPr>
            <w:tcW w:w="3969" w:type="dxa"/>
          </w:tcPr>
          <w:p>
            <w:pPr>
              <w:pStyle w:val="43"/>
              <w:spacing w:beforeLines="0" w:afterLines="0" w:line="480" w:lineRule="exact"/>
              <w:ind w:firstLine="440" w:firstLineChars="200"/>
              <w:jc w:val="left"/>
              <w:outlineLvl w:val="9"/>
              <w:rPr>
                <w:rFonts w:ascii="宋体" w:hAnsi="宋体"/>
                <w:b w:val="0"/>
                <w:bCs w:val="0"/>
                <w:sz w:val="22"/>
                <w:szCs w:val="22"/>
              </w:rPr>
            </w:pPr>
            <w:bookmarkStart w:id="91" w:name="_Toc57400552"/>
            <w:bookmarkStart w:id="92" w:name="_Toc15855"/>
            <w:r>
              <w:rPr>
                <w:rFonts w:hint="eastAsia" w:ascii="宋体" w:hAnsi="宋体"/>
                <w:b w:val="0"/>
                <w:bCs w:val="0"/>
                <w:sz w:val="22"/>
                <w:szCs w:val="22"/>
              </w:rPr>
              <w:t>7～14L/m</w:t>
            </w:r>
            <w:bookmarkEnd w:id="91"/>
            <w:bookmarkEnd w:id="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61" w:type="dxa"/>
          </w:tcPr>
          <w:p>
            <w:pPr>
              <w:pStyle w:val="43"/>
              <w:spacing w:beforeLines="0" w:afterLines="0" w:line="480" w:lineRule="exact"/>
              <w:ind w:firstLine="440" w:firstLineChars="200"/>
              <w:jc w:val="left"/>
              <w:outlineLvl w:val="9"/>
              <w:rPr>
                <w:rFonts w:ascii="宋体" w:hAnsi="宋体"/>
                <w:b w:val="0"/>
                <w:bCs w:val="0"/>
                <w:sz w:val="22"/>
                <w:szCs w:val="22"/>
              </w:rPr>
            </w:pPr>
            <w:bookmarkStart w:id="93" w:name="_Toc17965"/>
            <w:bookmarkStart w:id="94" w:name="_Toc57400553"/>
            <w:r>
              <w:rPr>
                <w:rFonts w:hint="eastAsia" w:ascii="宋体" w:hAnsi="宋体"/>
                <w:b w:val="0"/>
                <w:bCs w:val="0"/>
                <w:sz w:val="22"/>
                <w:szCs w:val="22"/>
              </w:rPr>
              <w:t>B类</w:t>
            </w:r>
            <w:bookmarkEnd w:id="93"/>
            <w:bookmarkEnd w:id="94"/>
          </w:p>
        </w:tc>
        <w:tc>
          <w:tcPr>
            <w:tcW w:w="3969" w:type="dxa"/>
          </w:tcPr>
          <w:p>
            <w:pPr>
              <w:pStyle w:val="43"/>
              <w:spacing w:beforeLines="0" w:afterLines="0" w:line="480" w:lineRule="exact"/>
              <w:ind w:firstLine="440" w:firstLineChars="200"/>
              <w:jc w:val="left"/>
              <w:outlineLvl w:val="9"/>
              <w:rPr>
                <w:rFonts w:ascii="宋体" w:hAnsi="宋体"/>
                <w:b w:val="0"/>
                <w:bCs w:val="0"/>
                <w:sz w:val="22"/>
                <w:szCs w:val="22"/>
              </w:rPr>
            </w:pPr>
            <w:bookmarkStart w:id="95" w:name="_Toc57400554"/>
            <w:bookmarkStart w:id="96" w:name="_Toc5976"/>
            <w:r>
              <w:rPr>
                <w:rFonts w:hint="eastAsia" w:ascii="宋体" w:hAnsi="宋体"/>
                <w:b w:val="0"/>
                <w:bCs w:val="0"/>
                <w:sz w:val="22"/>
                <w:szCs w:val="22"/>
              </w:rPr>
              <w:t>3.5～7L/m(含7L/m)</w:t>
            </w:r>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261" w:type="dxa"/>
          </w:tcPr>
          <w:p>
            <w:pPr>
              <w:pStyle w:val="43"/>
              <w:spacing w:beforeLines="0" w:afterLines="0" w:line="480" w:lineRule="exact"/>
              <w:ind w:firstLine="440" w:firstLineChars="200"/>
              <w:jc w:val="left"/>
              <w:outlineLvl w:val="9"/>
              <w:rPr>
                <w:rFonts w:ascii="宋体" w:hAnsi="宋体"/>
                <w:b w:val="0"/>
                <w:bCs w:val="0"/>
                <w:sz w:val="22"/>
                <w:szCs w:val="22"/>
              </w:rPr>
            </w:pPr>
            <w:bookmarkStart w:id="97" w:name="_Toc9556"/>
            <w:bookmarkStart w:id="98" w:name="_Toc57400555"/>
            <w:r>
              <w:rPr>
                <w:rFonts w:hint="eastAsia" w:ascii="宋体" w:hAnsi="宋体"/>
                <w:b w:val="0"/>
                <w:bCs w:val="0"/>
                <w:sz w:val="22"/>
                <w:szCs w:val="22"/>
              </w:rPr>
              <w:t>C类</w:t>
            </w:r>
            <w:bookmarkEnd w:id="97"/>
            <w:bookmarkEnd w:id="98"/>
          </w:p>
        </w:tc>
        <w:tc>
          <w:tcPr>
            <w:tcW w:w="3969" w:type="dxa"/>
          </w:tcPr>
          <w:p>
            <w:pPr>
              <w:pStyle w:val="43"/>
              <w:spacing w:beforeLines="0" w:afterLines="0" w:line="480" w:lineRule="exact"/>
              <w:ind w:firstLine="440" w:firstLineChars="200"/>
              <w:jc w:val="left"/>
              <w:outlineLvl w:val="9"/>
              <w:rPr>
                <w:rFonts w:ascii="宋体" w:hAnsi="宋体"/>
                <w:b w:val="0"/>
                <w:bCs w:val="0"/>
                <w:sz w:val="22"/>
                <w:szCs w:val="22"/>
              </w:rPr>
            </w:pPr>
            <w:bookmarkStart w:id="99" w:name="_Toc57400556"/>
            <w:bookmarkStart w:id="100" w:name="_Toc31062"/>
            <w:r>
              <w:rPr>
                <w:rFonts w:hint="eastAsia" w:ascii="宋体" w:hAnsi="宋体"/>
                <w:b w:val="0"/>
                <w:bCs w:val="0"/>
                <w:sz w:val="22"/>
                <w:szCs w:val="22"/>
              </w:rPr>
              <w:t>1.5～3.5L/m(含3.5L/m)</w:t>
            </w:r>
            <w:bookmarkEnd w:id="99"/>
            <w:bookmarkEnd w:id="100"/>
          </w:p>
        </w:tc>
      </w:tr>
    </w:tbl>
    <w:p>
      <w:pPr>
        <w:pStyle w:val="43"/>
        <w:spacing w:beforeLines="0" w:afterLines="0" w:line="480" w:lineRule="exact"/>
        <w:jc w:val="left"/>
        <w:outlineLvl w:val="9"/>
        <w:rPr>
          <w:rFonts w:ascii="宋体" w:hAnsi="宋体"/>
          <w:b w:val="0"/>
          <w:bCs w:val="0"/>
          <w:sz w:val="22"/>
          <w:szCs w:val="22"/>
        </w:rPr>
      </w:pPr>
    </w:p>
    <w:p>
      <w:pPr>
        <w:pStyle w:val="43"/>
        <w:spacing w:beforeLines="0" w:afterLines="0" w:line="480" w:lineRule="exact"/>
        <w:ind w:firstLine="440" w:firstLineChars="200"/>
        <w:jc w:val="left"/>
        <w:outlineLvl w:val="9"/>
        <w:rPr>
          <w:rFonts w:ascii="宋体" w:hAnsi="宋体"/>
          <w:b w:val="0"/>
          <w:bCs w:val="0"/>
          <w:sz w:val="22"/>
          <w:szCs w:val="22"/>
        </w:rPr>
      </w:pPr>
      <w:bookmarkStart w:id="101" w:name="_Toc15390"/>
      <w:bookmarkStart w:id="102" w:name="_Toc57400557"/>
      <w:r>
        <w:rPr>
          <w:rFonts w:hint="eastAsia" w:ascii="宋体" w:hAnsi="宋体"/>
          <w:b w:val="0"/>
          <w:bCs w:val="0"/>
          <w:sz w:val="22"/>
          <w:szCs w:val="22"/>
        </w:rPr>
        <w:t>表5.1.</w:t>
      </w:r>
      <w:r>
        <w:rPr>
          <w:rFonts w:ascii="宋体" w:hAnsi="宋体"/>
          <w:b w:val="0"/>
          <w:bCs w:val="0"/>
          <w:sz w:val="22"/>
          <w:szCs w:val="22"/>
        </w:rPr>
        <w:t>4</w:t>
      </w:r>
      <w:r>
        <w:rPr>
          <w:rFonts w:hint="eastAsia" w:ascii="宋体" w:hAnsi="宋体"/>
          <w:b w:val="0"/>
          <w:bCs w:val="0"/>
          <w:sz w:val="22"/>
          <w:szCs w:val="22"/>
        </w:rPr>
        <w:t>-</w:t>
      </w:r>
      <w:r>
        <w:rPr>
          <w:rFonts w:ascii="宋体" w:hAnsi="宋体"/>
          <w:b w:val="0"/>
          <w:bCs w:val="0"/>
          <w:sz w:val="22"/>
          <w:szCs w:val="22"/>
        </w:rPr>
        <w:t>3</w:t>
      </w:r>
      <w:r>
        <w:rPr>
          <w:rFonts w:hint="eastAsia" w:ascii="宋体" w:hAnsi="宋体"/>
          <w:b w:val="0"/>
          <w:bCs w:val="0"/>
          <w:sz w:val="22"/>
          <w:szCs w:val="22"/>
        </w:rPr>
        <w:t>同一通道电线非金属材料体积限值</w:t>
      </w:r>
      <w:bookmarkEnd w:id="101"/>
      <w:bookmarkEnd w:id="102"/>
    </w:p>
    <w:tbl>
      <w:tblPr>
        <w:tblStyle w:val="31"/>
        <w:tblW w:w="7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61" w:type="dxa"/>
          </w:tcPr>
          <w:p>
            <w:pPr>
              <w:pStyle w:val="43"/>
              <w:spacing w:beforeLines="0" w:afterLines="0" w:line="480" w:lineRule="exact"/>
              <w:ind w:firstLine="440" w:firstLineChars="200"/>
              <w:jc w:val="left"/>
              <w:outlineLvl w:val="9"/>
              <w:rPr>
                <w:rFonts w:ascii="宋体" w:hAnsi="宋体"/>
                <w:b w:val="0"/>
                <w:bCs w:val="0"/>
                <w:sz w:val="22"/>
                <w:szCs w:val="22"/>
              </w:rPr>
            </w:pPr>
            <w:bookmarkStart w:id="103" w:name="_Toc57400558"/>
            <w:bookmarkStart w:id="104" w:name="_Toc19791"/>
            <w:r>
              <w:rPr>
                <w:rFonts w:hint="eastAsia" w:ascii="宋体" w:hAnsi="宋体"/>
                <w:b w:val="0"/>
                <w:bCs w:val="0"/>
                <w:sz w:val="22"/>
                <w:szCs w:val="22"/>
              </w:rPr>
              <w:t>阻燃类别</w:t>
            </w:r>
            <w:bookmarkEnd w:id="103"/>
            <w:bookmarkEnd w:id="104"/>
          </w:p>
        </w:tc>
        <w:tc>
          <w:tcPr>
            <w:tcW w:w="3969" w:type="dxa"/>
          </w:tcPr>
          <w:p>
            <w:pPr>
              <w:pStyle w:val="43"/>
              <w:spacing w:beforeLines="0" w:afterLines="0" w:line="480" w:lineRule="exact"/>
              <w:ind w:firstLine="440" w:firstLineChars="200"/>
              <w:jc w:val="left"/>
              <w:outlineLvl w:val="9"/>
              <w:rPr>
                <w:rFonts w:ascii="宋体" w:hAnsi="宋体"/>
                <w:b w:val="0"/>
                <w:bCs w:val="0"/>
                <w:sz w:val="22"/>
                <w:szCs w:val="22"/>
              </w:rPr>
            </w:pPr>
            <w:bookmarkStart w:id="105" w:name="_Toc2895"/>
            <w:bookmarkStart w:id="106" w:name="_Toc57400559"/>
            <w:r>
              <w:rPr>
                <w:rFonts w:hint="eastAsia" w:ascii="宋体" w:hAnsi="宋体"/>
                <w:b w:val="0"/>
                <w:bCs w:val="0"/>
                <w:sz w:val="22"/>
                <w:szCs w:val="22"/>
              </w:rPr>
              <w:t>非金属材料体积</w:t>
            </w:r>
            <w:bookmarkEnd w:id="105"/>
            <w:bookmarkEnd w:id="1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61" w:type="dxa"/>
          </w:tcPr>
          <w:p>
            <w:pPr>
              <w:pStyle w:val="43"/>
              <w:spacing w:beforeLines="0" w:afterLines="0" w:line="480" w:lineRule="exact"/>
              <w:ind w:firstLine="440" w:firstLineChars="200"/>
              <w:jc w:val="left"/>
              <w:outlineLvl w:val="9"/>
              <w:rPr>
                <w:rFonts w:ascii="宋体" w:hAnsi="宋体"/>
                <w:b w:val="0"/>
                <w:bCs w:val="0"/>
                <w:sz w:val="22"/>
                <w:szCs w:val="22"/>
              </w:rPr>
            </w:pPr>
            <w:bookmarkStart w:id="107" w:name="_Toc16902"/>
            <w:bookmarkStart w:id="108" w:name="_Toc57400560"/>
            <w:r>
              <w:rPr>
                <w:rFonts w:hint="eastAsia" w:ascii="宋体" w:hAnsi="宋体"/>
                <w:b w:val="0"/>
                <w:bCs w:val="0"/>
                <w:sz w:val="22"/>
                <w:szCs w:val="22"/>
              </w:rPr>
              <w:t>C类</w:t>
            </w:r>
            <w:bookmarkEnd w:id="107"/>
            <w:bookmarkEnd w:id="108"/>
          </w:p>
        </w:tc>
        <w:tc>
          <w:tcPr>
            <w:tcW w:w="3969" w:type="dxa"/>
          </w:tcPr>
          <w:p>
            <w:pPr>
              <w:pStyle w:val="43"/>
              <w:spacing w:beforeLines="0" w:afterLines="0" w:line="480" w:lineRule="exact"/>
              <w:ind w:firstLine="440" w:firstLineChars="200"/>
              <w:jc w:val="left"/>
              <w:outlineLvl w:val="9"/>
              <w:rPr>
                <w:rFonts w:ascii="宋体" w:hAnsi="宋体"/>
                <w:b w:val="0"/>
                <w:bCs w:val="0"/>
                <w:sz w:val="22"/>
                <w:szCs w:val="22"/>
              </w:rPr>
            </w:pPr>
            <w:bookmarkStart w:id="109" w:name="_Toc57400561"/>
            <w:bookmarkStart w:id="110" w:name="_Toc15210"/>
            <w:r>
              <w:rPr>
                <w:rFonts w:hint="eastAsia" w:ascii="宋体" w:hAnsi="宋体"/>
                <w:b w:val="0"/>
                <w:bCs w:val="0"/>
                <w:sz w:val="22"/>
                <w:szCs w:val="22"/>
              </w:rPr>
              <w:t>1.5～3.5L/m(含3.5L/m)</w:t>
            </w:r>
            <w:bookmarkEnd w:id="109"/>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61" w:type="dxa"/>
          </w:tcPr>
          <w:p>
            <w:pPr>
              <w:pStyle w:val="43"/>
              <w:spacing w:beforeLines="0" w:afterLines="0" w:line="480" w:lineRule="exact"/>
              <w:ind w:firstLine="440" w:firstLineChars="200"/>
              <w:jc w:val="left"/>
              <w:outlineLvl w:val="9"/>
              <w:rPr>
                <w:rFonts w:ascii="宋体" w:hAnsi="宋体"/>
                <w:b w:val="0"/>
                <w:bCs w:val="0"/>
                <w:sz w:val="22"/>
                <w:szCs w:val="22"/>
              </w:rPr>
            </w:pPr>
            <w:bookmarkStart w:id="111" w:name="_Toc57400562"/>
            <w:bookmarkStart w:id="112" w:name="_Toc26519"/>
            <w:r>
              <w:rPr>
                <w:rFonts w:hint="eastAsia" w:ascii="宋体" w:hAnsi="宋体"/>
                <w:b w:val="0"/>
                <w:bCs w:val="0"/>
                <w:sz w:val="22"/>
                <w:szCs w:val="22"/>
              </w:rPr>
              <w:t>D类</w:t>
            </w:r>
            <w:bookmarkEnd w:id="111"/>
            <w:bookmarkEnd w:id="112"/>
          </w:p>
        </w:tc>
        <w:tc>
          <w:tcPr>
            <w:tcW w:w="3969" w:type="dxa"/>
          </w:tcPr>
          <w:p>
            <w:pPr>
              <w:pStyle w:val="43"/>
              <w:spacing w:beforeLines="0" w:afterLines="0" w:line="480" w:lineRule="exact"/>
              <w:ind w:firstLine="440" w:firstLineChars="200"/>
              <w:jc w:val="left"/>
              <w:outlineLvl w:val="9"/>
              <w:rPr>
                <w:rFonts w:ascii="宋体" w:hAnsi="宋体"/>
                <w:b w:val="0"/>
                <w:bCs w:val="0"/>
                <w:sz w:val="22"/>
                <w:szCs w:val="22"/>
              </w:rPr>
            </w:pPr>
            <w:bookmarkStart w:id="113" w:name="_Toc57400563"/>
            <w:bookmarkStart w:id="114" w:name="_Toc1844"/>
            <w:r>
              <w:rPr>
                <w:rFonts w:ascii="宋体" w:hAnsi="宋体"/>
                <w:b w:val="0"/>
                <w:bCs w:val="0"/>
                <w:sz w:val="22"/>
                <w:szCs w:val="22"/>
              </w:rPr>
              <w:t>≤</w:t>
            </w:r>
            <w:r>
              <w:rPr>
                <w:rFonts w:hint="eastAsia" w:ascii="宋体" w:hAnsi="宋体"/>
                <w:b w:val="0"/>
                <w:bCs w:val="0"/>
                <w:sz w:val="22"/>
                <w:szCs w:val="22"/>
              </w:rPr>
              <w:t>1.5L/m</w:t>
            </w:r>
            <w:bookmarkEnd w:id="113"/>
            <w:bookmarkEnd w:id="114"/>
          </w:p>
        </w:tc>
      </w:tr>
    </w:tbl>
    <w:p>
      <w:pPr>
        <w:pStyle w:val="43"/>
        <w:spacing w:beforeLines="0" w:afterLines="0" w:line="480" w:lineRule="exact"/>
        <w:jc w:val="left"/>
        <w:outlineLvl w:val="9"/>
        <w:rPr>
          <w:rFonts w:ascii="宋体" w:hAnsi="宋体"/>
          <w:b w:val="0"/>
          <w:bCs w:val="0"/>
          <w:sz w:val="22"/>
          <w:szCs w:val="22"/>
        </w:rPr>
      </w:pPr>
    </w:p>
    <w:p>
      <w:pPr>
        <w:pStyle w:val="81"/>
        <w:adjustRightInd w:val="0"/>
        <w:spacing w:line="480" w:lineRule="exact"/>
        <w:ind w:firstLine="0" w:firstLineChars="0"/>
        <w:jc w:val="left"/>
      </w:pPr>
      <w:r>
        <w:rPr>
          <w:rFonts w:hint="eastAsia"/>
        </w:rPr>
        <w:t>5.1.5</w:t>
      </w:r>
      <w:r>
        <w:t xml:space="preserve"> </w:t>
      </w:r>
      <w:r>
        <w:rPr>
          <w:rFonts w:hint="eastAsia"/>
        </w:rPr>
        <w:t>住宅公共区域及住宅配套建筑中的声光报警器及消防广播应每层设置，并应满足现行GB50116《火灾自动报警系统设计规范》中的声压级要求。</w:t>
      </w:r>
    </w:p>
    <w:p>
      <w:pPr>
        <w:pStyle w:val="81"/>
        <w:adjustRightInd w:val="0"/>
        <w:spacing w:line="480" w:lineRule="exact"/>
        <w:ind w:firstLine="0" w:firstLineChars="0"/>
        <w:jc w:val="left"/>
      </w:pPr>
      <w:r>
        <w:rPr>
          <w:rFonts w:hint="eastAsia"/>
        </w:rPr>
        <w:t>5.1.6</w:t>
      </w:r>
      <w:bookmarkStart w:id="115" w:name="_Toc57400566"/>
      <w:r>
        <w:t xml:space="preserve"> </w:t>
      </w:r>
      <w:r>
        <w:rPr>
          <w:rFonts w:hint="eastAsia"/>
        </w:rPr>
        <w:t>火灾自动报警系统及其子系统的线路不应与其它非消防类弱电线路共用保护管或槽盒内敷设，消防应急广播线路应独立穿导管或独立槽盒敷设；火灾自动报警系统电源支线及重要设备的直接控制线截面应满足使用要求，并不应小于2.5mm</w:t>
      </w:r>
      <w:r>
        <w:rPr>
          <w:rFonts w:hint="eastAsia"/>
          <w:vertAlign w:val="superscript"/>
        </w:rPr>
        <w:t>2</w:t>
      </w:r>
      <w:r>
        <w:rPr>
          <w:rFonts w:hint="eastAsia"/>
        </w:rPr>
        <w:t>。</w:t>
      </w:r>
    </w:p>
    <w:bookmarkEnd w:id="115"/>
    <w:p>
      <w:pPr>
        <w:pStyle w:val="81"/>
        <w:tabs>
          <w:tab w:val="left" w:pos="567"/>
        </w:tabs>
        <w:spacing w:line="480" w:lineRule="exact"/>
        <w:ind w:firstLine="0" w:firstLineChars="0"/>
        <w:jc w:val="left"/>
      </w:pPr>
      <w:r>
        <w:rPr>
          <w:rFonts w:hint="eastAsia"/>
        </w:rPr>
        <w:t>5.1.7</w:t>
      </w:r>
      <w:r>
        <w:t xml:space="preserve"> </w:t>
      </w:r>
      <w:r>
        <w:rPr>
          <w:rFonts w:hint="eastAsia"/>
        </w:rPr>
        <w:t>高层住宅建筑利用通道作为检修空间时，超过1</w:t>
      </w:r>
      <w:r>
        <w:t>00m</w:t>
      </w:r>
      <w:r>
        <w:rPr>
          <w:rFonts w:hint="eastAsia"/>
        </w:rPr>
        <w:t>的一类高层电气竖井进深净尺寸不应小于0.8m，1</w:t>
      </w:r>
      <w:r>
        <w:t>00m</w:t>
      </w:r>
      <w:r>
        <w:rPr>
          <w:rFonts w:hint="eastAsia"/>
        </w:rPr>
        <w:t>以下的一类高层、十二层及以上的二类高层电气竖井进深净尺寸不应小于0.</w:t>
      </w:r>
      <w:r>
        <w:t>6</w:t>
      </w:r>
      <w:r>
        <w:rPr>
          <w:rFonts w:hint="eastAsia"/>
        </w:rPr>
        <w:t>m。</w:t>
      </w:r>
    </w:p>
    <w:p>
      <w:pPr>
        <w:pStyle w:val="81"/>
        <w:tabs>
          <w:tab w:val="left" w:pos="567"/>
        </w:tabs>
        <w:spacing w:line="480" w:lineRule="exact"/>
        <w:ind w:firstLine="0" w:firstLineChars="0"/>
        <w:jc w:val="left"/>
      </w:pPr>
      <w:r>
        <w:rPr>
          <w:rFonts w:hint="eastAsia"/>
        </w:rPr>
        <w:t>5.1.8</w:t>
      </w:r>
      <w:r>
        <w:t xml:space="preserve"> </w:t>
      </w:r>
      <w:r>
        <w:rPr>
          <w:rFonts w:hint="eastAsia"/>
        </w:rPr>
        <w:t>住宅小区</w:t>
      </w:r>
      <w:r>
        <w:t>电动自行车停放区域应设置电动自行车专用的充电</w:t>
      </w:r>
      <w:r>
        <w:rPr>
          <w:rFonts w:hint="eastAsia"/>
        </w:rPr>
        <w:t>设施，充电设施应具备充满自动断电、定时断电、充电故障自动断电、过载保护、短路保护、漏电保护功能，并宜具备充电故障报警、功率监测、高温报警等功能。</w:t>
      </w:r>
    </w:p>
    <w:p>
      <w:pPr>
        <w:pStyle w:val="81"/>
        <w:tabs>
          <w:tab w:val="left" w:pos="567"/>
        </w:tabs>
        <w:spacing w:line="480" w:lineRule="exact"/>
        <w:ind w:firstLine="0" w:firstLineChars="0"/>
        <w:jc w:val="left"/>
      </w:pPr>
      <w:r>
        <w:rPr>
          <w:rFonts w:hint="eastAsia"/>
        </w:rPr>
        <w:t>5.1.9</w:t>
      </w:r>
      <w:r>
        <w:t xml:space="preserve"> </w:t>
      </w:r>
      <w:r>
        <w:rPr>
          <w:rFonts w:hint="eastAsia"/>
        </w:rPr>
        <w:t>住宅小区的配电装置及设备控制箱未设置于专用的配电间或设备控制间内时，箱体应设锁并采取局部等电位联结等有效防电击措施。</w:t>
      </w:r>
    </w:p>
    <w:p>
      <w:pPr>
        <w:pStyle w:val="81"/>
        <w:tabs>
          <w:tab w:val="left" w:pos="567"/>
        </w:tabs>
        <w:spacing w:line="480" w:lineRule="exact"/>
        <w:ind w:firstLine="0" w:firstLineChars="0"/>
        <w:jc w:val="left"/>
      </w:pPr>
      <w:r>
        <w:rPr>
          <w:rFonts w:hint="eastAsia"/>
        </w:rPr>
        <w:t>5.1.10</w:t>
      </w:r>
      <w:r>
        <w:t xml:space="preserve"> </w:t>
      </w:r>
      <w:r>
        <w:rPr>
          <w:rFonts w:hint="eastAsia"/>
        </w:rPr>
        <w:t>住宅小区室外带金属构件的电动门、电动挡车器等的配电线路， 应设置过负荷保护、短路保护及剩余电流动作保护电器，并应设局部等电位联结，距离金属构件1.5米范围内的地面应敷设电位均衡网格，网格尺寸不大于300x300mm。</w:t>
      </w:r>
    </w:p>
    <w:p>
      <w:pPr>
        <w:pStyle w:val="81"/>
        <w:tabs>
          <w:tab w:val="left" w:pos="567"/>
        </w:tabs>
        <w:spacing w:line="480" w:lineRule="exact"/>
        <w:ind w:firstLine="0" w:firstLineChars="0"/>
        <w:jc w:val="left"/>
      </w:pPr>
      <w:r>
        <w:rPr>
          <w:rFonts w:hint="eastAsia"/>
        </w:rPr>
        <w:t>5.1.11</w:t>
      </w:r>
      <w:r>
        <w:t xml:space="preserve"> </w:t>
      </w:r>
      <w:r>
        <w:rPr>
          <w:rFonts w:hint="eastAsia"/>
        </w:rPr>
        <w:t>住宅电梯厅照明采用节能延时控制方式时，应至少设置一盏灯不经延时控制；住宅楼梯、走道、电梯厅等公共区域的照明</w:t>
      </w:r>
      <w:r>
        <w:t>节能自熄开关</w:t>
      </w:r>
      <w:r>
        <w:rPr>
          <w:rFonts w:hint="eastAsia"/>
        </w:rPr>
        <w:t>应采用</w:t>
      </w:r>
      <w:r>
        <w:t>人体感应、雷达感应等非接触控制型产品</w:t>
      </w:r>
      <w:r>
        <w:rPr>
          <w:rFonts w:hint="eastAsia"/>
        </w:rPr>
        <w:t>。</w:t>
      </w:r>
    </w:p>
    <w:p>
      <w:pPr>
        <w:pStyle w:val="81"/>
        <w:tabs>
          <w:tab w:val="left" w:pos="567"/>
        </w:tabs>
        <w:spacing w:line="480" w:lineRule="exact"/>
        <w:ind w:firstLine="0" w:firstLineChars="0"/>
        <w:jc w:val="left"/>
      </w:pPr>
      <w:r>
        <w:rPr>
          <w:rFonts w:hint="eastAsia"/>
        </w:rPr>
        <w:t>5.1.12</w:t>
      </w:r>
      <w:r>
        <w:t xml:space="preserve"> </w:t>
      </w:r>
      <w:r>
        <w:rPr>
          <w:rFonts w:hint="eastAsia"/>
        </w:rPr>
        <w:t>住户配电箱和弱电配线箱不应装设在剪力墙上，且住户配电箱</w:t>
      </w:r>
      <w:r>
        <w:t>不应装设在水管井壁、厨房内及卫生间0～2防护区的墙上</w:t>
      </w:r>
      <w:r>
        <w:rPr>
          <w:rFonts w:hint="eastAsia"/>
        </w:rPr>
        <w:t>，</w:t>
      </w:r>
      <w:r>
        <w:t>也不应嵌装在电梯井道、建筑外墙、分户墙上。</w:t>
      </w:r>
    </w:p>
    <w:p>
      <w:pPr>
        <w:pStyle w:val="81"/>
        <w:tabs>
          <w:tab w:val="left" w:pos="567"/>
        </w:tabs>
        <w:spacing w:line="480" w:lineRule="exact"/>
        <w:ind w:firstLine="0" w:firstLineChars="0"/>
        <w:jc w:val="left"/>
      </w:pPr>
      <w:r>
        <w:rPr>
          <w:rFonts w:hint="eastAsia"/>
        </w:rPr>
        <w:t>5.1.13</w:t>
      </w:r>
      <w:r>
        <w:t xml:space="preserve"> </w:t>
      </w:r>
      <w:r>
        <w:rPr>
          <w:rFonts w:hint="eastAsia"/>
        </w:rPr>
        <w:t>成品房的起居室、书房及所有卧室均应设置有线信息网络插座，起居室及所有卧室均应设置有线电视插座；住宅户内家居配线箱至有线信息网络插座应采用不低于超五类的网络通信线。</w:t>
      </w:r>
    </w:p>
    <w:p>
      <w:pPr>
        <w:pStyle w:val="81"/>
        <w:tabs>
          <w:tab w:val="left" w:pos="567"/>
        </w:tabs>
        <w:spacing w:line="480" w:lineRule="exact"/>
        <w:ind w:firstLine="0" w:firstLineChars="0"/>
        <w:jc w:val="left"/>
      </w:pPr>
      <w:r>
        <w:rPr>
          <w:rFonts w:hint="eastAsia"/>
        </w:rPr>
        <w:t>5.1.14</w:t>
      </w:r>
      <w:r>
        <w:t xml:space="preserve"> </w:t>
      </w:r>
      <w:r>
        <w:rPr>
          <w:rFonts w:hint="eastAsia"/>
        </w:rPr>
        <w:t>成品房宜在现行规范要求的基础上根据使用需要适当增设插座。</w:t>
      </w:r>
    </w:p>
    <w:p>
      <w:pPr>
        <w:pStyle w:val="81"/>
        <w:tabs>
          <w:tab w:val="left" w:pos="567"/>
        </w:tabs>
        <w:spacing w:line="480" w:lineRule="exact"/>
        <w:ind w:firstLine="0" w:firstLineChars="0"/>
        <w:jc w:val="left"/>
        <w:rPr>
          <w:rFonts w:hint="eastAsia"/>
        </w:rPr>
      </w:pPr>
      <w:r>
        <w:rPr>
          <w:rFonts w:hint="eastAsia"/>
        </w:rPr>
        <w:t>5.1.15</w:t>
      </w:r>
      <w:r>
        <w:t xml:space="preserve"> 应在</w:t>
      </w:r>
      <w:r>
        <w:rPr>
          <w:rFonts w:hint="eastAsia"/>
        </w:rPr>
        <w:t>公共部位的</w:t>
      </w:r>
      <w:r>
        <w:t>智能信报箱、快递柜处</w:t>
      </w:r>
      <w:r>
        <w:rPr>
          <w:rFonts w:hint="eastAsia"/>
        </w:rPr>
        <w:t>设置</w:t>
      </w:r>
      <w:r>
        <w:t>电源装置。</w:t>
      </w:r>
    </w:p>
    <w:p>
      <w:pPr>
        <w:pStyle w:val="81"/>
        <w:tabs>
          <w:tab w:val="left" w:pos="567"/>
        </w:tabs>
        <w:spacing w:line="480" w:lineRule="exact"/>
        <w:ind w:firstLine="0" w:firstLineChars="0"/>
        <w:jc w:val="left"/>
      </w:pPr>
    </w:p>
    <w:p>
      <w:pPr>
        <w:tabs>
          <w:tab w:val="left" w:pos="567"/>
        </w:tabs>
        <w:spacing w:line="480" w:lineRule="exact"/>
        <w:jc w:val="left"/>
        <w:rPr>
          <w:rFonts w:ascii="楷体_GB2312" w:eastAsia="楷体_GB2312"/>
          <w:b/>
        </w:rPr>
      </w:pPr>
    </w:p>
    <w:p>
      <w:pPr>
        <w:keepLines/>
        <w:numPr>
          <w:ilvl w:val="0"/>
          <w:numId w:val="2"/>
        </w:numPr>
        <w:spacing w:line="480" w:lineRule="exact"/>
        <w:ind w:left="758" w:hanging="758" w:hangingChars="236"/>
        <w:contextualSpacing/>
        <w:jc w:val="center"/>
        <w:outlineLvl w:val="0"/>
        <w:rPr>
          <w:rFonts w:eastAsia="黑体"/>
          <w:b/>
          <w:bCs/>
          <w:kern w:val="44"/>
          <w:sz w:val="32"/>
          <w:szCs w:val="44"/>
          <w:lang w:val="zh-CN"/>
        </w:rPr>
      </w:pPr>
      <w:bookmarkStart w:id="116" w:name="_Toc19543617"/>
      <w:bookmarkStart w:id="117" w:name="_Toc57400575"/>
      <w:bookmarkStart w:id="118" w:name="_Toc30371"/>
      <w:r>
        <w:rPr>
          <w:rFonts w:hint="eastAsia" w:eastAsia="黑体"/>
          <w:b/>
          <w:bCs/>
          <w:kern w:val="44"/>
          <w:sz w:val="32"/>
          <w:szCs w:val="44"/>
          <w:lang w:val="zh-CN"/>
        </w:rPr>
        <w:t>暖通专业</w:t>
      </w:r>
      <w:bookmarkEnd w:id="116"/>
      <w:bookmarkEnd w:id="117"/>
      <w:bookmarkEnd w:id="118"/>
    </w:p>
    <w:p>
      <w:pPr>
        <w:adjustRightInd w:val="0"/>
        <w:spacing w:line="480" w:lineRule="exact"/>
        <w:jc w:val="left"/>
        <w:rPr>
          <w:rFonts w:ascii="仿宋_GB2312" w:eastAsia="仿宋_GB2312"/>
        </w:rPr>
      </w:pPr>
    </w:p>
    <w:p>
      <w:pPr>
        <w:pStyle w:val="81"/>
        <w:tabs>
          <w:tab w:val="left" w:pos="567"/>
        </w:tabs>
        <w:spacing w:line="480" w:lineRule="exact"/>
        <w:ind w:firstLine="0" w:firstLineChars="0"/>
        <w:jc w:val="left"/>
      </w:pPr>
      <w:r>
        <w:rPr>
          <w:rFonts w:hint="eastAsia"/>
        </w:rPr>
        <w:t>6.1.</w:t>
      </w:r>
      <w:r>
        <w:t xml:space="preserve">1 </w:t>
      </w:r>
      <w:r>
        <w:rPr>
          <w:rFonts w:hint="eastAsia"/>
        </w:rPr>
        <w:t>设置户式集中空调的住宅，</w:t>
      </w:r>
      <w:r>
        <w:t>应设置带过滤装置的新风系统，</w:t>
      </w:r>
      <w:r>
        <w:rPr>
          <w:rFonts w:hint="eastAsia"/>
        </w:rPr>
        <w:t>新</w:t>
      </w:r>
      <w:r>
        <w:t>风量不</w:t>
      </w:r>
      <w:r>
        <w:rPr>
          <w:rFonts w:hint="eastAsia"/>
        </w:rPr>
        <w:t>应</w:t>
      </w:r>
      <w:r>
        <w:t>小于0.5次/时。</w:t>
      </w:r>
    </w:p>
    <w:p>
      <w:pPr>
        <w:pStyle w:val="81"/>
        <w:tabs>
          <w:tab w:val="left" w:pos="567"/>
        </w:tabs>
        <w:spacing w:line="480" w:lineRule="exact"/>
        <w:ind w:firstLine="0" w:firstLineChars="0"/>
        <w:jc w:val="left"/>
      </w:pPr>
      <w:r>
        <w:rPr>
          <w:rFonts w:hint="eastAsia"/>
        </w:rPr>
        <w:t>6.1.</w:t>
      </w:r>
      <w:r>
        <w:t xml:space="preserve">2 </w:t>
      </w:r>
      <w:r>
        <w:rPr>
          <w:rFonts w:hint="eastAsia"/>
        </w:rPr>
        <w:t>采用户式集中空调系统的住宅，应根据空调设计图纸在结构墙体、梁处预埋新风及冷媒管套管。</w:t>
      </w:r>
    </w:p>
    <w:p>
      <w:pPr>
        <w:pStyle w:val="81"/>
        <w:tabs>
          <w:tab w:val="left" w:pos="567"/>
        </w:tabs>
        <w:spacing w:line="480" w:lineRule="exact"/>
        <w:ind w:firstLine="0" w:firstLineChars="0"/>
        <w:jc w:val="left"/>
      </w:pPr>
      <w:r>
        <w:rPr>
          <w:rFonts w:hint="eastAsia"/>
        </w:rPr>
        <w:t>6.1.</w:t>
      </w:r>
      <w:r>
        <w:t xml:space="preserve">3 </w:t>
      </w:r>
      <w:r>
        <w:rPr>
          <w:rFonts w:hint="eastAsia"/>
        </w:rPr>
        <w:t>设置户式集中空调系统时，应充分考虑室内气流组织，精装设计时应避免空调室内机送风吹向床头。</w:t>
      </w:r>
    </w:p>
    <w:p>
      <w:pPr>
        <w:pStyle w:val="81"/>
        <w:tabs>
          <w:tab w:val="left" w:pos="567"/>
        </w:tabs>
        <w:spacing w:line="480" w:lineRule="exact"/>
        <w:ind w:firstLine="0" w:firstLineChars="0"/>
        <w:jc w:val="left"/>
      </w:pPr>
      <w:r>
        <w:rPr>
          <w:rFonts w:hint="eastAsia"/>
        </w:rPr>
        <w:t>6.1.</w:t>
      </w:r>
      <w:r>
        <w:t xml:space="preserve">4 </w:t>
      </w:r>
      <w:r>
        <w:rPr>
          <w:rFonts w:hint="eastAsia"/>
        </w:rPr>
        <w:t>如消防电梯</w:t>
      </w:r>
      <w:r>
        <w:t>前室采用</w:t>
      </w:r>
      <w:r>
        <w:rPr>
          <w:rFonts w:hint="eastAsia"/>
        </w:rPr>
        <w:t>机械加压</w:t>
      </w:r>
      <w:r>
        <w:t>，</w:t>
      </w:r>
      <w:r>
        <w:rPr>
          <w:rFonts w:hint="eastAsia"/>
        </w:rPr>
        <w:t>当采用顶送风方式时，送风管送风口距地面的净高不应小于2.</w:t>
      </w:r>
      <w:r>
        <w:t>4</w:t>
      </w:r>
      <w:r>
        <w:rPr>
          <w:rFonts w:hint="eastAsia"/>
        </w:rPr>
        <w:t>米。</w:t>
      </w:r>
    </w:p>
    <w:p>
      <w:pPr>
        <w:pStyle w:val="81"/>
        <w:tabs>
          <w:tab w:val="left" w:pos="567"/>
        </w:tabs>
        <w:spacing w:line="480" w:lineRule="exact"/>
        <w:ind w:firstLine="0" w:firstLineChars="0"/>
        <w:jc w:val="left"/>
      </w:pPr>
      <w:r>
        <w:rPr>
          <w:rFonts w:hint="eastAsia"/>
        </w:rPr>
        <w:t>6.1.</w:t>
      </w:r>
      <w:r>
        <w:t xml:space="preserve">5 </w:t>
      </w:r>
      <w:r>
        <w:rPr>
          <w:rFonts w:hint="eastAsia"/>
        </w:rPr>
        <w:t>设置在住宅单体地下室内供平时使用的通风机房，当其上部为居住空间时，应避免直接贴临，且风机需采取消声隔震措施，机房也应做隔音处理。并应充分考虑排风出口对住户的影响。</w:t>
      </w:r>
    </w:p>
    <w:sectPr>
      <w:footerReference r:id="rId3" w:type="default"/>
      <w:pgSz w:w="11906" w:h="16838"/>
      <w:pgMar w:top="1418" w:right="1701" w:bottom="1418" w:left="1701" w:header="851" w:footer="992" w:gutter="0"/>
      <w:pgNumType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53">
      <wne:acd wne:acdName="acd0"/>
    </wne:keymap>
    <wne:keymap wne:kcmPrimary="0458">
      <wne:acd wne:acdName="acd1"/>
    </wne:keymap>
    <wne:keymap wne:kcmPrimary="045A">
      <wne:acd wne:acdName="acd2"/>
    </wne:keymap>
  </wne:keymaps>
  <wne:acds>
    <wne:acd wne:argValue="AgBzAG0AMwA=" wne:acdName="acd0" wne:fciIndexBasedOn="0065"/>
    <wne:acd wne:argValue="AgA3aA9fMQA=" wne:acdName="acd1" wne:fciIndexBasedOn="0065"/>
    <wne:acd wne:argValue="AgBja4dlMwA="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BNLHDC+TimesNewRoman,Bold">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b/>
      </w:rPr>
    </w:pPr>
    <w:r>
      <w:rPr>
        <w:rStyle w:val="35"/>
        <w:b/>
      </w:rPr>
      <w:fldChar w:fldCharType="begin"/>
    </w:r>
    <w:r>
      <w:rPr>
        <w:rStyle w:val="35"/>
        <w:b/>
      </w:rPr>
      <w:instrText xml:space="preserve">PAGE  </w:instrText>
    </w:r>
    <w:r>
      <w:rPr>
        <w:rStyle w:val="35"/>
        <w:b/>
      </w:rPr>
      <w:fldChar w:fldCharType="separate"/>
    </w:r>
    <w:r>
      <w:rPr>
        <w:rStyle w:val="35"/>
        <w:b/>
      </w:rPr>
      <w:t>10</w:t>
    </w:r>
    <w:r>
      <w:rPr>
        <w:rStyle w:val="35"/>
        <w:b/>
      </w:rPr>
      <w:fldChar w:fldCharType="end"/>
    </w:r>
  </w:p>
  <w:p>
    <w:pPr>
      <w:pStyle w:val="22"/>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8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86"/>
      <w:suff w:val="nothing"/>
      <w:lvlText w:val="%1.%2.%3　"/>
      <w:lvlJc w:val="left"/>
      <w:pPr>
        <w:ind w:left="1417" w:firstLine="0"/>
      </w:pPr>
      <w:rPr>
        <w:rFonts w:hint="eastAsia" w:ascii="宋体" w:hAnsi="宋体" w:eastAsia="宋体"/>
        <w:b w:val="0"/>
        <w:i w:val="0"/>
        <w:sz w:val="21"/>
        <w:lang w:val="en-US"/>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EA53127"/>
    <w:multiLevelType w:val="multilevel"/>
    <w:tmpl w:val="5EA53127"/>
    <w:lvl w:ilvl="0" w:tentative="0">
      <w:start w:val="1"/>
      <w:numFmt w:val="decimal"/>
      <w:lvlText w:val="%1"/>
      <w:lvlJc w:val="left"/>
      <w:pPr>
        <w:ind w:left="425" w:hanging="425"/>
      </w:pPr>
      <w:rPr>
        <w:rFonts w:hint="default"/>
      </w:rPr>
    </w:lvl>
    <w:lvl w:ilvl="1" w:tentative="0">
      <w:start w:val="1"/>
      <w:numFmt w:val="decimal"/>
      <w:lvlText w:val="%1.%2"/>
      <w:lvlJc w:val="left"/>
      <w:pPr>
        <w:ind w:left="3970" w:hanging="567"/>
      </w:pPr>
      <w:rPr>
        <w:rFonts w:hint="default"/>
      </w:rPr>
    </w:lvl>
    <w:lvl w:ilvl="2" w:tentative="0">
      <w:start w:val="1"/>
      <w:numFmt w:val="decimal"/>
      <w:lvlText w:val="%1.%2.%3"/>
      <w:lvlJc w:val="left"/>
      <w:pPr>
        <w:ind w:left="1985" w:hanging="567"/>
      </w:pPr>
      <w:rPr>
        <w:rFonts w:hint="default" w:ascii="宋体" w:hAnsi="宋体" w:eastAsia="宋体"/>
        <w:sz w:val="24"/>
        <w:szCs w:val="24"/>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D9"/>
    <w:rsid w:val="00000259"/>
    <w:rsid w:val="0000035B"/>
    <w:rsid w:val="00000495"/>
    <w:rsid w:val="0000075E"/>
    <w:rsid w:val="00000ECB"/>
    <w:rsid w:val="000012F9"/>
    <w:rsid w:val="000026D0"/>
    <w:rsid w:val="00003848"/>
    <w:rsid w:val="00003E8F"/>
    <w:rsid w:val="000046E2"/>
    <w:rsid w:val="0000485B"/>
    <w:rsid w:val="00004AEA"/>
    <w:rsid w:val="00004D1D"/>
    <w:rsid w:val="0000565C"/>
    <w:rsid w:val="00005E7B"/>
    <w:rsid w:val="000063CC"/>
    <w:rsid w:val="000063EC"/>
    <w:rsid w:val="000067CB"/>
    <w:rsid w:val="00006F68"/>
    <w:rsid w:val="0000768E"/>
    <w:rsid w:val="000079C2"/>
    <w:rsid w:val="00007DF9"/>
    <w:rsid w:val="000100C2"/>
    <w:rsid w:val="000100C9"/>
    <w:rsid w:val="000102F9"/>
    <w:rsid w:val="00010747"/>
    <w:rsid w:val="00010920"/>
    <w:rsid w:val="00010AE7"/>
    <w:rsid w:val="00010B42"/>
    <w:rsid w:val="00010CA4"/>
    <w:rsid w:val="00011237"/>
    <w:rsid w:val="000114F8"/>
    <w:rsid w:val="000117D1"/>
    <w:rsid w:val="00011D9A"/>
    <w:rsid w:val="00011EDE"/>
    <w:rsid w:val="0001203A"/>
    <w:rsid w:val="000121A5"/>
    <w:rsid w:val="0001295E"/>
    <w:rsid w:val="00013038"/>
    <w:rsid w:val="00013373"/>
    <w:rsid w:val="000134EE"/>
    <w:rsid w:val="000137CC"/>
    <w:rsid w:val="00013A34"/>
    <w:rsid w:val="00013B64"/>
    <w:rsid w:val="00014955"/>
    <w:rsid w:val="00016331"/>
    <w:rsid w:val="00016358"/>
    <w:rsid w:val="00016402"/>
    <w:rsid w:val="00016788"/>
    <w:rsid w:val="000177BB"/>
    <w:rsid w:val="0002039E"/>
    <w:rsid w:val="00020490"/>
    <w:rsid w:val="00020842"/>
    <w:rsid w:val="0002099B"/>
    <w:rsid w:val="00020B71"/>
    <w:rsid w:val="00021596"/>
    <w:rsid w:val="000218B3"/>
    <w:rsid w:val="00021B0E"/>
    <w:rsid w:val="000220B3"/>
    <w:rsid w:val="00022276"/>
    <w:rsid w:val="00022478"/>
    <w:rsid w:val="00022581"/>
    <w:rsid w:val="0002295D"/>
    <w:rsid w:val="00022FA9"/>
    <w:rsid w:val="00023052"/>
    <w:rsid w:val="00023D77"/>
    <w:rsid w:val="00023FFB"/>
    <w:rsid w:val="0002476C"/>
    <w:rsid w:val="000249B3"/>
    <w:rsid w:val="00025277"/>
    <w:rsid w:val="000258EF"/>
    <w:rsid w:val="000264B0"/>
    <w:rsid w:val="0002652E"/>
    <w:rsid w:val="00026F6B"/>
    <w:rsid w:val="00026F95"/>
    <w:rsid w:val="000273BA"/>
    <w:rsid w:val="000274A7"/>
    <w:rsid w:val="000275B8"/>
    <w:rsid w:val="00027D56"/>
    <w:rsid w:val="0003031B"/>
    <w:rsid w:val="00030AC4"/>
    <w:rsid w:val="00030D55"/>
    <w:rsid w:val="00030DE9"/>
    <w:rsid w:val="000313B9"/>
    <w:rsid w:val="0003143D"/>
    <w:rsid w:val="00031451"/>
    <w:rsid w:val="00031C65"/>
    <w:rsid w:val="00031D47"/>
    <w:rsid w:val="0003202C"/>
    <w:rsid w:val="000323F3"/>
    <w:rsid w:val="0003254E"/>
    <w:rsid w:val="00032ED7"/>
    <w:rsid w:val="00033112"/>
    <w:rsid w:val="0003378F"/>
    <w:rsid w:val="0003435C"/>
    <w:rsid w:val="000345AC"/>
    <w:rsid w:val="000346C6"/>
    <w:rsid w:val="00034729"/>
    <w:rsid w:val="00034B2F"/>
    <w:rsid w:val="0003533C"/>
    <w:rsid w:val="000357A8"/>
    <w:rsid w:val="00035FAF"/>
    <w:rsid w:val="000363F0"/>
    <w:rsid w:val="000364EA"/>
    <w:rsid w:val="00036E49"/>
    <w:rsid w:val="00036F19"/>
    <w:rsid w:val="0003713E"/>
    <w:rsid w:val="0004016A"/>
    <w:rsid w:val="000402B7"/>
    <w:rsid w:val="00040383"/>
    <w:rsid w:val="00040C14"/>
    <w:rsid w:val="0004144C"/>
    <w:rsid w:val="000419FF"/>
    <w:rsid w:val="00041C90"/>
    <w:rsid w:val="00041E5E"/>
    <w:rsid w:val="000421D1"/>
    <w:rsid w:val="00042AED"/>
    <w:rsid w:val="00042C4A"/>
    <w:rsid w:val="00043858"/>
    <w:rsid w:val="000438BA"/>
    <w:rsid w:val="00044188"/>
    <w:rsid w:val="000444B9"/>
    <w:rsid w:val="00044DAF"/>
    <w:rsid w:val="00044F94"/>
    <w:rsid w:val="0004592E"/>
    <w:rsid w:val="00045D63"/>
    <w:rsid w:val="0004615B"/>
    <w:rsid w:val="0004642C"/>
    <w:rsid w:val="00046C6C"/>
    <w:rsid w:val="00046EFF"/>
    <w:rsid w:val="000471E8"/>
    <w:rsid w:val="00047421"/>
    <w:rsid w:val="000475D2"/>
    <w:rsid w:val="00047E3D"/>
    <w:rsid w:val="000508AD"/>
    <w:rsid w:val="00050938"/>
    <w:rsid w:val="00050CAF"/>
    <w:rsid w:val="000511FB"/>
    <w:rsid w:val="0005222D"/>
    <w:rsid w:val="00052424"/>
    <w:rsid w:val="00052505"/>
    <w:rsid w:val="0005344D"/>
    <w:rsid w:val="00053495"/>
    <w:rsid w:val="000534C2"/>
    <w:rsid w:val="00054848"/>
    <w:rsid w:val="00054963"/>
    <w:rsid w:val="00055FA3"/>
    <w:rsid w:val="0005604C"/>
    <w:rsid w:val="00056327"/>
    <w:rsid w:val="0005635D"/>
    <w:rsid w:val="0005657E"/>
    <w:rsid w:val="00056F7C"/>
    <w:rsid w:val="000570FE"/>
    <w:rsid w:val="00057CA4"/>
    <w:rsid w:val="00057D5B"/>
    <w:rsid w:val="00060847"/>
    <w:rsid w:val="00060B59"/>
    <w:rsid w:val="00060F42"/>
    <w:rsid w:val="000610F3"/>
    <w:rsid w:val="00061903"/>
    <w:rsid w:val="000619BC"/>
    <w:rsid w:val="0006237D"/>
    <w:rsid w:val="00062413"/>
    <w:rsid w:val="00062823"/>
    <w:rsid w:val="0006282C"/>
    <w:rsid w:val="00062849"/>
    <w:rsid w:val="00062D12"/>
    <w:rsid w:val="00062DAF"/>
    <w:rsid w:val="00062E1C"/>
    <w:rsid w:val="0006311D"/>
    <w:rsid w:val="000634BB"/>
    <w:rsid w:val="00063846"/>
    <w:rsid w:val="0006453D"/>
    <w:rsid w:val="00064632"/>
    <w:rsid w:val="0006497A"/>
    <w:rsid w:val="00064D0D"/>
    <w:rsid w:val="00064EB3"/>
    <w:rsid w:val="000650F5"/>
    <w:rsid w:val="000651DC"/>
    <w:rsid w:val="000654BD"/>
    <w:rsid w:val="000657ED"/>
    <w:rsid w:val="00065896"/>
    <w:rsid w:val="00065A4B"/>
    <w:rsid w:val="00066103"/>
    <w:rsid w:val="000665EC"/>
    <w:rsid w:val="00066CCE"/>
    <w:rsid w:val="0006756B"/>
    <w:rsid w:val="00067B90"/>
    <w:rsid w:val="000700B8"/>
    <w:rsid w:val="00070297"/>
    <w:rsid w:val="000703B5"/>
    <w:rsid w:val="00070CCB"/>
    <w:rsid w:val="00070E3A"/>
    <w:rsid w:val="000718F2"/>
    <w:rsid w:val="00072778"/>
    <w:rsid w:val="00072890"/>
    <w:rsid w:val="00072AE9"/>
    <w:rsid w:val="00072DAA"/>
    <w:rsid w:val="000732BB"/>
    <w:rsid w:val="000733BB"/>
    <w:rsid w:val="00073930"/>
    <w:rsid w:val="000740D3"/>
    <w:rsid w:val="00074A19"/>
    <w:rsid w:val="00074B0B"/>
    <w:rsid w:val="00074CCD"/>
    <w:rsid w:val="00075034"/>
    <w:rsid w:val="0007503F"/>
    <w:rsid w:val="0007521C"/>
    <w:rsid w:val="0007575D"/>
    <w:rsid w:val="00075A11"/>
    <w:rsid w:val="0007686B"/>
    <w:rsid w:val="00076C21"/>
    <w:rsid w:val="00076D21"/>
    <w:rsid w:val="00076FB9"/>
    <w:rsid w:val="00076FEB"/>
    <w:rsid w:val="000770C1"/>
    <w:rsid w:val="00077879"/>
    <w:rsid w:val="000779DE"/>
    <w:rsid w:val="0008046D"/>
    <w:rsid w:val="0008081F"/>
    <w:rsid w:val="00081090"/>
    <w:rsid w:val="00081F48"/>
    <w:rsid w:val="00082A57"/>
    <w:rsid w:val="00083187"/>
    <w:rsid w:val="0008330C"/>
    <w:rsid w:val="000836A2"/>
    <w:rsid w:val="00083D4A"/>
    <w:rsid w:val="00083D65"/>
    <w:rsid w:val="00083FB9"/>
    <w:rsid w:val="0008471A"/>
    <w:rsid w:val="00084A27"/>
    <w:rsid w:val="00084A76"/>
    <w:rsid w:val="000855A7"/>
    <w:rsid w:val="0008591A"/>
    <w:rsid w:val="00085E29"/>
    <w:rsid w:val="000860A3"/>
    <w:rsid w:val="00086125"/>
    <w:rsid w:val="000862DA"/>
    <w:rsid w:val="00086940"/>
    <w:rsid w:val="000869FE"/>
    <w:rsid w:val="00086B89"/>
    <w:rsid w:val="00087447"/>
    <w:rsid w:val="00090AB3"/>
    <w:rsid w:val="00090B74"/>
    <w:rsid w:val="00091251"/>
    <w:rsid w:val="00091637"/>
    <w:rsid w:val="000916F7"/>
    <w:rsid w:val="00091937"/>
    <w:rsid w:val="00091A65"/>
    <w:rsid w:val="000924F7"/>
    <w:rsid w:val="00092CFC"/>
    <w:rsid w:val="00093969"/>
    <w:rsid w:val="0009400F"/>
    <w:rsid w:val="0009407E"/>
    <w:rsid w:val="000945F8"/>
    <w:rsid w:val="000948AE"/>
    <w:rsid w:val="00094B6A"/>
    <w:rsid w:val="00095589"/>
    <w:rsid w:val="00095D6B"/>
    <w:rsid w:val="00095EF2"/>
    <w:rsid w:val="00096601"/>
    <w:rsid w:val="000967FB"/>
    <w:rsid w:val="00096B51"/>
    <w:rsid w:val="00096FA6"/>
    <w:rsid w:val="000976B7"/>
    <w:rsid w:val="000A0848"/>
    <w:rsid w:val="000A09AD"/>
    <w:rsid w:val="000A0A84"/>
    <w:rsid w:val="000A0BAF"/>
    <w:rsid w:val="000A0E21"/>
    <w:rsid w:val="000A103C"/>
    <w:rsid w:val="000A1081"/>
    <w:rsid w:val="000A1104"/>
    <w:rsid w:val="000A1108"/>
    <w:rsid w:val="000A16A3"/>
    <w:rsid w:val="000A19CA"/>
    <w:rsid w:val="000A1A48"/>
    <w:rsid w:val="000A1FCF"/>
    <w:rsid w:val="000A22A3"/>
    <w:rsid w:val="000A22EB"/>
    <w:rsid w:val="000A2782"/>
    <w:rsid w:val="000A2A38"/>
    <w:rsid w:val="000A3427"/>
    <w:rsid w:val="000A3775"/>
    <w:rsid w:val="000A3C56"/>
    <w:rsid w:val="000A3C65"/>
    <w:rsid w:val="000A412E"/>
    <w:rsid w:val="000A51D2"/>
    <w:rsid w:val="000A543B"/>
    <w:rsid w:val="000A5493"/>
    <w:rsid w:val="000A5D29"/>
    <w:rsid w:val="000A689C"/>
    <w:rsid w:val="000A6B2F"/>
    <w:rsid w:val="000A760A"/>
    <w:rsid w:val="000A7EA2"/>
    <w:rsid w:val="000B0013"/>
    <w:rsid w:val="000B0105"/>
    <w:rsid w:val="000B01FC"/>
    <w:rsid w:val="000B040D"/>
    <w:rsid w:val="000B0871"/>
    <w:rsid w:val="000B089C"/>
    <w:rsid w:val="000B0B3C"/>
    <w:rsid w:val="000B0DD8"/>
    <w:rsid w:val="000B1128"/>
    <w:rsid w:val="000B1212"/>
    <w:rsid w:val="000B1D9E"/>
    <w:rsid w:val="000B24FD"/>
    <w:rsid w:val="000B26DA"/>
    <w:rsid w:val="000B2A6D"/>
    <w:rsid w:val="000B2D31"/>
    <w:rsid w:val="000B2FC1"/>
    <w:rsid w:val="000B482D"/>
    <w:rsid w:val="000B4ACD"/>
    <w:rsid w:val="000B526E"/>
    <w:rsid w:val="000B52DB"/>
    <w:rsid w:val="000B5C05"/>
    <w:rsid w:val="000B616E"/>
    <w:rsid w:val="000B632C"/>
    <w:rsid w:val="000B6569"/>
    <w:rsid w:val="000B6B38"/>
    <w:rsid w:val="000B7361"/>
    <w:rsid w:val="000B75E4"/>
    <w:rsid w:val="000B763D"/>
    <w:rsid w:val="000B7708"/>
    <w:rsid w:val="000B7807"/>
    <w:rsid w:val="000B7B6D"/>
    <w:rsid w:val="000C02C1"/>
    <w:rsid w:val="000C0835"/>
    <w:rsid w:val="000C0972"/>
    <w:rsid w:val="000C0C45"/>
    <w:rsid w:val="000C13FE"/>
    <w:rsid w:val="000C1479"/>
    <w:rsid w:val="000C1752"/>
    <w:rsid w:val="000C17A9"/>
    <w:rsid w:val="000C27ED"/>
    <w:rsid w:val="000C339A"/>
    <w:rsid w:val="000C34AD"/>
    <w:rsid w:val="000C35D0"/>
    <w:rsid w:val="000C3966"/>
    <w:rsid w:val="000C3B7B"/>
    <w:rsid w:val="000C3C95"/>
    <w:rsid w:val="000C3E41"/>
    <w:rsid w:val="000C42A1"/>
    <w:rsid w:val="000C4A44"/>
    <w:rsid w:val="000C4CE4"/>
    <w:rsid w:val="000C5076"/>
    <w:rsid w:val="000C56F4"/>
    <w:rsid w:val="000C6733"/>
    <w:rsid w:val="000C6D07"/>
    <w:rsid w:val="000C6F67"/>
    <w:rsid w:val="000C735D"/>
    <w:rsid w:val="000C73EF"/>
    <w:rsid w:val="000C7728"/>
    <w:rsid w:val="000C7D8A"/>
    <w:rsid w:val="000D044A"/>
    <w:rsid w:val="000D0A71"/>
    <w:rsid w:val="000D0B46"/>
    <w:rsid w:val="000D136F"/>
    <w:rsid w:val="000D1B6F"/>
    <w:rsid w:val="000D2312"/>
    <w:rsid w:val="000D26EE"/>
    <w:rsid w:val="000D2852"/>
    <w:rsid w:val="000D2929"/>
    <w:rsid w:val="000D2E58"/>
    <w:rsid w:val="000D305A"/>
    <w:rsid w:val="000D31D6"/>
    <w:rsid w:val="000D3734"/>
    <w:rsid w:val="000D4223"/>
    <w:rsid w:val="000D54F1"/>
    <w:rsid w:val="000D570E"/>
    <w:rsid w:val="000D5761"/>
    <w:rsid w:val="000D6259"/>
    <w:rsid w:val="000D66F3"/>
    <w:rsid w:val="000D688D"/>
    <w:rsid w:val="000D6A02"/>
    <w:rsid w:val="000E0458"/>
    <w:rsid w:val="000E0713"/>
    <w:rsid w:val="000E1B29"/>
    <w:rsid w:val="000E20A6"/>
    <w:rsid w:val="000E2221"/>
    <w:rsid w:val="000E2242"/>
    <w:rsid w:val="000E2833"/>
    <w:rsid w:val="000E2B69"/>
    <w:rsid w:val="000E2BB0"/>
    <w:rsid w:val="000E33C5"/>
    <w:rsid w:val="000E36D8"/>
    <w:rsid w:val="000E3800"/>
    <w:rsid w:val="000E3D86"/>
    <w:rsid w:val="000E3F9F"/>
    <w:rsid w:val="000E4083"/>
    <w:rsid w:val="000E5771"/>
    <w:rsid w:val="000E5965"/>
    <w:rsid w:val="000E5B24"/>
    <w:rsid w:val="000E5B98"/>
    <w:rsid w:val="000E5C7E"/>
    <w:rsid w:val="000E5FEA"/>
    <w:rsid w:val="000E61B2"/>
    <w:rsid w:val="000E62FE"/>
    <w:rsid w:val="000E6311"/>
    <w:rsid w:val="000E634D"/>
    <w:rsid w:val="000E664A"/>
    <w:rsid w:val="000E670A"/>
    <w:rsid w:val="000E69A3"/>
    <w:rsid w:val="000E6C19"/>
    <w:rsid w:val="000E7AE3"/>
    <w:rsid w:val="000E7FBC"/>
    <w:rsid w:val="000F067D"/>
    <w:rsid w:val="000F06DD"/>
    <w:rsid w:val="000F072D"/>
    <w:rsid w:val="000F10B7"/>
    <w:rsid w:val="000F155B"/>
    <w:rsid w:val="000F1C22"/>
    <w:rsid w:val="000F2049"/>
    <w:rsid w:val="000F29FE"/>
    <w:rsid w:val="000F2F03"/>
    <w:rsid w:val="000F38CF"/>
    <w:rsid w:val="000F3AEC"/>
    <w:rsid w:val="000F3D96"/>
    <w:rsid w:val="000F3F2A"/>
    <w:rsid w:val="000F4794"/>
    <w:rsid w:val="000F4BA8"/>
    <w:rsid w:val="000F4F3B"/>
    <w:rsid w:val="000F4F3E"/>
    <w:rsid w:val="000F516C"/>
    <w:rsid w:val="000F5A9E"/>
    <w:rsid w:val="000F5FB5"/>
    <w:rsid w:val="000F61B2"/>
    <w:rsid w:val="000F625E"/>
    <w:rsid w:val="000F6431"/>
    <w:rsid w:val="000F67D0"/>
    <w:rsid w:val="000F6D7E"/>
    <w:rsid w:val="000F6FC0"/>
    <w:rsid w:val="000F77A3"/>
    <w:rsid w:val="000F7E36"/>
    <w:rsid w:val="00100737"/>
    <w:rsid w:val="00100C7A"/>
    <w:rsid w:val="00101031"/>
    <w:rsid w:val="00102BFF"/>
    <w:rsid w:val="0010349D"/>
    <w:rsid w:val="001037D7"/>
    <w:rsid w:val="00103A02"/>
    <w:rsid w:val="00103EC4"/>
    <w:rsid w:val="00104033"/>
    <w:rsid w:val="00104340"/>
    <w:rsid w:val="001046E3"/>
    <w:rsid w:val="001061B8"/>
    <w:rsid w:val="001062E8"/>
    <w:rsid w:val="001064D6"/>
    <w:rsid w:val="00106A56"/>
    <w:rsid w:val="00107255"/>
    <w:rsid w:val="001074C3"/>
    <w:rsid w:val="00107780"/>
    <w:rsid w:val="001079EB"/>
    <w:rsid w:val="00107ED5"/>
    <w:rsid w:val="00110521"/>
    <w:rsid w:val="001105C5"/>
    <w:rsid w:val="001106DE"/>
    <w:rsid w:val="00110A90"/>
    <w:rsid w:val="00110BD4"/>
    <w:rsid w:val="00110CF4"/>
    <w:rsid w:val="00110D35"/>
    <w:rsid w:val="00110D4A"/>
    <w:rsid w:val="00110DBF"/>
    <w:rsid w:val="00110E2D"/>
    <w:rsid w:val="001119AF"/>
    <w:rsid w:val="00111B38"/>
    <w:rsid w:val="00111E9D"/>
    <w:rsid w:val="00112572"/>
    <w:rsid w:val="001128C3"/>
    <w:rsid w:val="001129A4"/>
    <w:rsid w:val="00112C9E"/>
    <w:rsid w:val="00112CC4"/>
    <w:rsid w:val="00113822"/>
    <w:rsid w:val="001139E4"/>
    <w:rsid w:val="00113FC3"/>
    <w:rsid w:val="00114C35"/>
    <w:rsid w:val="00114E1F"/>
    <w:rsid w:val="00115ADB"/>
    <w:rsid w:val="00115D57"/>
    <w:rsid w:val="00116387"/>
    <w:rsid w:val="00116506"/>
    <w:rsid w:val="00116863"/>
    <w:rsid w:val="00117661"/>
    <w:rsid w:val="00120676"/>
    <w:rsid w:val="001209DC"/>
    <w:rsid w:val="001211A9"/>
    <w:rsid w:val="001212C8"/>
    <w:rsid w:val="00121316"/>
    <w:rsid w:val="00121A86"/>
    <w:rsid w:val="00121F31"/>
    <w:rsid w:val="001221BD"/>
    <w:rsid w:val="001225DE"/>
    <w:rsid w:val="001229BA"/>
    <w:rsid w:val="00122E72"/>
    <w:rsid w:val="001234C2"/>
    <w:rsid w:val="00123667"/>
    <w:rsid w:val="0012381D"/>
    <w:rsid w:val="00123F6A"/>
    <w:rsid w:val="0012545A"/>
    <w:rsid w:val="00125509"/>
    <w:rsid w:val="00125B51"/>
    <w:rsid w:val="00126A1B"/>
    <w:rsid w:val="00127307"/>
    <w:rsid w:val="00127321"/>
    <w:rsid w:val="00127538"/>
    <w:rsid w:val="0012792E"/>
    <w:rsid w:val="00127D72"/>
    <w:rsid w:val="00127DC6"/>
    <w:rsid w:val="00127E5C"/>
    <w:rsid w:val="00127FA0"/>
    <w:rsid w:val="00130565"/>
    <w:rsid w:val="001307EB"/>
    <w:rsid w:val="001309DB"/>
    <w:rsid w:val="00130A97"/>
    <w:rsid w:val="001310A1"/>
    <w:rsid w:val="00131BF8"/>
    <w:rsid w:val="00131F2E"/>
    <w:rsid w:val="001325C5"/>
    <w:rsid w:val="00132669"/>
    <w:rsid w:val="00132BD8"/>
    <w:rsid w:val="001334A5"/>
    <w:rsid w:val="00133857"/>
    <w:rsid w:val="00133B1D"/>
    <w:rsid w:val="00133EDB"/>
    <w:rsid w:val="001341B8"/>
    <w:rsid w:val="0013436C"/>
    <w:rsid w:val="0013479D"/>
    <w:rsid w:val="00134822"/>
    <w:rsid w:val="00134B10"/>
    <w:rsid w:val="0013533B"/>
    <w:rsid w:val="00135953"/>
    <w:rsid w:val="0013598C"/>
    <w:rsid w:val="00136137"/>
    <w:rsid w:val="00136443"/>
    <w:rsid w:val="001369A5"/>
    <w:rsid w:val="001375BF"/>
    <w:rsid w:val="00140199"/>
    <w:rsid w:val="001402A0"/>
    <w:rsid w:val="001406A5"/>
    <w:rsid w:val="0014078C"/>
    <w:rsid w:val="0014085B"/>
    <w:rsid w:val="00140916"/>
    <w:rsid w:val="001411F6"/>
    <w:rsid w:val="00141AB1"/>
    <w:rsid w:val="00141F29"/>
    <w:rsid w:val="00141FE2"/>
    <w:rsid w:val="0014251C"/>
    <w:rsid w:val="00142E14"/>
    <w:rsid w:val="001437B5"/>
    <w:rsid w:val="0014387C"/>
    <w:rsid w:val="001438FA"/>
    <w:rsid w:val="00143B6F"/>
    <w:rsid w:val="00144C39"/>
    <w:rsid w:val="001451A1"/>
    <w:rsid w:val="00145D1D"/>
    <w:rsid w:val="00145E7B"/>
    <w:rsid w:val="001460C2"/>
    <w:rsid w:val="00146932"/>
    <w:rsid w:val="001471AB"/>
    <w:rsid w:val="001478F4"/>
    <w:rsid w:val="00147C43"/>
    <w:rsid w:val="00147DC7"/>
    <w:rsid w:val="00147F98"/>
    <w:rsid w:val="00150232"/>
    <w:rsid w:val="001503CE"/>
    <w:rsid w:val="001510FE"/>
    <w:rsid w:val="00151924"/>
    <w:rsid w:val="00151B48"/>
    <w:rsid w:val="0015227F"/>
    <w:rsid w:val="00152309"/>
    <w:rsid w:val="001524D2"/>
    <w:rsid w:val="00152D16"/>
    <w:rsid w:val="00152E73"/>
    <w:rsid w:val="0015315C"/>
    <w:rsid w:val="001535B4"/>
    <w:rsid w:val="0015453A"/>
    <w:rsid w:val="00154D80"/>
    <w:rsid w:val="001552D2"/>
    <w:rsid w:val="00155FF0"/>
    <w:rsid w:val="00156685"/>
    <w:rsid w:val="00156743"/>
    <w:rsid w:val="001570AB"/>
    <w:rsid w:val="0015786C"/>
    <w:rsid w:val="001579DE"/>
    <w:rsid w:val="00157F3C"/>
    <w:rsid w:val="00160099"/>
    <w:rsid w:val="00160774"/>
    <w:rsid w:val="00161344"/>
    <w:rsid w:val="00161627"/>
    <w:rsid w:val="00161708"/>
    <w:rsid w:val="001619F6"/>
    <w:rsid w:val="00161FC4"/>
    <w:rsid w:val="00162A9A"/>
    <w:rsid w:val="00162B2C"/>
    <w:rsid w:val="0016409E"/>
    <w:rsid w:val="001640C0"/>
    <w:rsid w:val="001645AF"/>
    <w:rsid w:val="00164B33"/>
    <w:rsid w:val="00164DAE"/>
    <w:rsid w:val="00164EDC"/>
    <w:rsid w:val="001656B9"/>
    <w:rsid w:val="0016583D"/>
    <w:rsid w:val="00166498"/>
    <w:rsid w:val="00166579"/>
    <w:rsid w:val="001668C0"/>
    <w:rsid w:val="00166CD4"/>
    <w:rsid w:val="00166D0B"/>
    <w:rsid w:val="001674E8"/>
    <w:rsid w:val="00167609"/>
    <w:rsid w:val="00170225"/>
    <w:rsid w:val="00170278"/>
    <w:rsid w:val="00170DDA"/>
    <w:rsid w:val="0017186D"/>
    <w:rsid w:val="00171B6E"/>
    <w:rsid w:val="00171CA4"/>
    <w:rsid w:val="00171E3D"/>
    <w:rsid w:val="00172482"/>
    <w:rsid w:val="00172595"/>
    <w:rsid w:val="0017394F"/>
    <w:rsid w:val="00173AFD"/>
    <w:rsid w:val="00173EEA"/>
    <w:rsid w:val="00174104"/>
    <w:rsid w:val="00174FE6"/>
    <w:rsid w:val="00175948"/>
    <w:rsid w:val="00175AAD"/>
    <w:rsid w:val="001762BD"/>
    <w:rsid w:val="001764EF"/>
    <w:rsid w:val="001768B5"/>
    <w:rsid w:val="00177170"/>
    <w:rsid w:val="00177913"/>
    <w:rsid w:val="00177ABB"/>
    <w:rsid w:val="00177CA2"/>
    <w:rsid w:val="00177D96"/>
    <w:rsid w:val="001806FB"/>
    <w:rsid w:val="00180844"/>
    <w:rsid w:val="0018190B"/>
    <w:rsid w:val="00181FD3"/>
    <w:rsid w:val="0018247D"/>
    <w:rsid w:val="00182668"/>
    <w:rsid w:val="001828A5"/>
    <w:rsid w:val="001828C3"/>
    <w:rsid w:val="00182AE4"/>
    <w:rsid w:val="00182C61"/>
    <w:rsid w:val="001830E2"/>
    <w:rsid w:val="0018328F"/>
    <w:rsid w:val="00183538"/>
    <w:rsid w:val="00183832"/>
    <w:rsid w:val="00183DA8"/>
    <w:rsid w:val="001849F2"/>
    <w:rsid w:val="00184D39"/>
    <w:rsid w:val="00184E45"/>
    <w:rsid w:val="00184E93"/>
    <w:rsid w:val="00184F99"/>
    <w:rsid w:val="00184FEA"/>
    <w:rsid w:val="00185A82"/>
    <w:rsid w:val="00185B2C"/>
    <w:rsid w:val="00185C43"/>
    <w:rsid w:val="00186068"/>
    <w:rsid w:val="00186282"/>
    <w:rsid w:val="00186B89"/>
    <w:rsid w:val="00190198"/>
    <w:rsid w:val="001916F5"/>
    <w:rsid w:val="001929DE"/>
    <w:rsid w:val="00192D36"/>
    <w:rsid w:val="00192FD7"/>
    <w:rsid w:val="001930EA"/>
    <w:rsid w:val="00193154"/>
    <w:rsid w:val="0019386B"/>
    <w:rsid w:val="00193DA0"/>
    <w:rsid w:val="00193F0E"/>
    <w:rsid w:val="00194DEC"/>
    <w:rsid w:val="00195695"/>
    <w:rsid w:val="001958F2"/>
    <w:rsid w:val="001960AB"/>
    <w:rsid w:val="001969F0"/>
    <w:rsid w:val="00196AC9"/>
    <w:rsid w:val="00196AE7"/>
    <w:rsid w:val="00196DE0"/>
    <w:rsid w:val="0019717F"/>
    <w:rsid w:val="001976FF"/>
    <w:rsid w:val="00197D3A"/>
    <w:rsid w:val="001A0165"/>
    <w:rsid w:val="001A02CE"/>
    <w:rsid w:val="001A06D6"/>
    <w:rsid w:val="001A0E69"/>
    <w:rsid w:val="001A10F5"/>
    <w:rsid w:val="001A138D"/>
    <w:rsid w:val="001A18B0"/>
    <w:rsid w:val="001A199B"/>
    <w:rsid w:val="001A1AB8"/>
    <w:rsid w:val="001A218B"/>
    <w:rsid w:val="001A21A1"/>
    <w:rsid w:val="001A22CC"/>
    <w:rsid w:val="001A2D40"/>
    <w:rsid w:val="001A3176"/>
    <w:rsid w:val="001A3616"/>
    <w:rsid w:val="001A3767"/>
    <w:rsid w:val="001A4502"/>
    <w:rsid w:val="001A4B4A"/>
    <w:rsid w:val="001A5077"/>
    <w:rsid w:val="001A5271"/>
    <w:rsid w:val="001A5576"/>
    <w:rsid w:val="001A5C20"/>
    <w:rsid w:val="001A5F0B"/>
    <w:rsid w:val="001A656D"/>
    <w:rsid w:val="001A69CE"/>
    <w:rsid w:val="001A6FC7"/>
    <w:rsid w:val="001A7A72"/>
    <w:rsid w:val="001B052D"/>
    <w:rsid w:val="001B07D0"/>
    <w:rsid w:val="001B0E2A"/>
    <w:rsid w:val="001B0F43"/>
    <w:rsid w:val="001B11ED"/>
    <w:rsid w:val="001B156E"/>
    <w:rsid w:val="001B1999"/>
    <w:rsid w:val="001B24F7"/>
    <w:rsid w:val="001B2753"/>
    <w:rsid w:val="001B288A"/>
    <w:rsid w:val="001B297E"/>
    <w:rsid w:val="001B31D5"/>
    <w:rsid w:val="001B490B"/>
    <w:rsid w:val="001B5117"/>
    <w:rsid w:val="001B58AA"/>
    <w:rsid w:val="001B66F7"/>
    <w:rsid w:val="001B6772"/>
    <w:rsid w:val="001B75B5"/>
    <w:rsid w:val="001B7863"/>
    <w:rsid w:val="001B7A80"/>
    <w:rsid w:val="001C00F2"/>
    <w:rsid w:val="001C0589"/>
    <w:rsid w:val="001C06CA"/>
    <w:rsid w:val="001C0B61"/>
    <w:rsid w:val="001C0C5F"/>
    <w:rsid w:val="001C12C6"/>
    <w:rsid w:val="001C13C8"/>
    <w:rsid w:val="001C1587"/>
    <w:rsid w:val="001C1751"/>
    <w:rsid w:val="001C1D59"/>
    <w:rsid w:val="001C20A7"/>
    <w:rsid w:val="001C2828"/>
    <w:rsid w:val="001C341F"/>
    <w:rsid w:val="001C37F5"/>
    <w:rsid w:val="001C3C29"/>
    <w:rsid w:val="001C3DAB"/>
    <w:rsid w:val="001C42D8"/>
    <w:rsid w:val="001C484C"/>
    <w:rsid w:val="001C4A3E"/>
    <w:rsid w:val="001C4B53"/>
    <w:rsid w:val="001C4CC6"/>
    <w:rsid w:val="001C4ED3"/>
    <w:rsid w:val="001C5109"/>
    <w:rsid w:val="001C5316"/>
    <w:rsid w:val="001C596A"/>
    <w:rsid w:val="001C5BAB"/>
    <w:rsid w:val="001C6287"/>
    <w:rsid w:val="001C63ED"/>
    <w:rsid w:val="001C6CB7"/>
    <w:rsid w:val="001C7E62"/>
    <w:rsid w:val="001D0130"/>
    <w:rsid w:val="001D03C8"/>
    <w:rsid w:val="001D0758"/>
    <w:rsid w:val="001D0B28"/>
    <w:rsid w:val="001D0BE1"/>
    <w:rsid w:val="001D1081"/>
    <w:rsid w:val="001D121D"/>
    <w:rsid w:val="001D16A2"/>
    <w:rsid w:val="001D19D6"/>
    <w:rsid w:val="001D23DA"/>
    <w:rsid w:val="001D2AD0"/>
    <w:rsid w:val="001D2B37"/>
    <w:rsid w:val="001D310F"/>
    <w:rsid w:val="001D34E6"/>
    <w:rsid w:val="001D39F0"/>
    <w:rsid w:val="001D3FFF"/>
    <w:rsid w:val="001D46CD"/>
    <w:rsid w:val="001D498A"/>
    <w:rsid w:val="001D4A6B"/>
    <w:rsid w:val="001D4E9A"/>
    <w:rsid w:val="001D4F3C"/>
    <w:rsid w:val="001D4FD1"/>
    <w:rsid w:val="001D5333"/>
    <w:rsid w:val="001D55EA"/>
    <w:rsid w:val="001D5A3F"/>
    <w:rsid w:val="001D5AA6"/>
    <w:rsid w:val="001D5B79"/>
    <w:rsid w:val="001D5FE0"/>
    <w:rsid w:val="001D6B7D"/>
    <w:rsid w:val="001D710E"/>
    <w:rsid w:val="001D71B9"/>
    <w:rsid w:val="001D74AE"/>
    <w:rsid w:val="001D7D38"/>
    <w:rsid w:val="001E024B"/>
    <w:rsid w:val="001E037B"/>
    <w:rsid w:val="001E0C7C"/>
    <w:rsid w:val="001E0D0D"/>
    <w:rsid w:val="001E0D65"/>
    <w:rsid w:val="001E11E4"/>
    <w:rsid w:val="001E17BD"/>
    <w:rsid w:val="001E1BF3"/>
    <w:rsid w:val="001E1E13"/>
    <w:rsid w:val="001E24A4"/>
    <w:rsid w:val="001E2C9C"/>
    <w:rsid w:val="001E35EE"/>
    <w:rsid w:val="001E391A"/>
    <w:rsid w:val="001E3D68"/>
    <w:rsid w:val="001E4086"/>
    <w:rsid w:val="001E40E4"/>
    <w:rsid w:val="001E4108"/>
    <w:rsid w:val="001E4CBA"/>
    <w:rsid w:val="001E51D7"/>
    <w:rsid w:val="001E592D"/>
    <w:rsid w:val="001E611D"/>
    <w:rsid w:val="001E626C"/>
    <w:rsid w:val="001E6742"/>
    <w:rsid w:val="001E683E"/>
    <w:rsid w:val="001E697A"/>
    <w:rsid w:val="001E75F0"/>
    <w:rsid w:val="001E7866"/>
    <w:rsid w:val="001E7AD3"/>
    <w:rsid w:val="001F0080"/>
    <w:rsid w:val="001F00A8"/>
    <w:rsid w:val="001F01CB"/>
    <w:rsid w:val="001F02B7"/>
    <w:rsid w:val="001F0801"/>
    <w:rsid w:val="001F0F30"/>
    <w:rsid w:val="001F1059"/>
    <w:rsid w:val="001F14C3"/>
    <w:rsid w:val="001F1524"/>
    <w:rsid w:val="001F155A"/>
    <w:rsid w:val="001F219F"/>
    <w:rsid w:val="001F235B"/>
    <w:rsid w:val="001F29B5"/>
    <w:rsid w:val="001F29E6"/>
    <w:rsid w:val="001F3B33"/>
    <w:rsid w:val="001F3E07"/>
    <w:rsid w:val="001F4EDB"/>
    <w:rsid w:val="001F5737"/>
    <w:rsid w:val="001F5C80"/>
    <w:rsid w:val="001F6560"/>
    <w:rsid w:val="001F6C6C"/>
    <w:rsid w:val="001F6E94"/>
    <w:rsid w:val="001F76C7"/>
    <w:rsid w:val="001F7CD3"/>
    <w:rsid w:val="00200083"/>
    <w:rsid w:val="0020107A"/>
    <w:rsid w:val="00201399"/>
    <w:rsid w:val="00201494"/>
    <w:rsid w:val="002015D3"/>
    <w:rsid w:val="00201DA5"/>
    <w:rsid w:val="002032B3"/>
    <w:rsid w:val="002034C7"/>
    <w:rsid w:val="0020405B"/>
    <w:rsid w:val="00204142"/>
    <w:rsid w:val="00204B64"/>
    <w:rsid w:val="0020582D"/>
    <w:rsid w:val="0020582E"/>
    <w:rsid w:val="00205A3D"/>
    <w:rsid w:val="00205FE3"/>
    <w:rsid w:val="00206647"/>
    <w:rsid w:val="00206D8F"/>
    <w:rsid w:val="002078DC"/>
    <w:rsid w:val="0020796C"/>
    <w:rsid w:val="00207B85"/>
    <w:rsid w:val="002104AF"/>
    <w:rsid w:val="00210519"/>
    <w:rsid w:val="002106AA"/>
    <w:rsid w:val="00210D09"/>
    <w:rsid w:val="00210F25"/>
    <w:rsid w:val="0021101F"/>
    <w:rsid w:val="0021103B"/>
    <w:rsid w:val="00211539"/>
    <w:rsid w:val="002121AB"/>
    <w:rsid w:val="0021248A"/>
    <w:rsid w:val="00212564"/>
    <w:rsid w:val="00212948"/>
    <w:rsid w:val="002129BF"/>
    <w:rsid w:val="00212B46"/>
    <w:rsid w:val="002137F9"/>
    <w:rsid w:val="00213EC7"/>
    <w:rsid w:val="0021472D"/>
    <w:rsid w:val="0021495C"/>
    <w:rsid w:val="0021509B"/>
    <w:rsid w:val="002152A6"/>
    <w:rsid w:val="00215C98"/>
    <w:rsid w:val="002160CF"/>
    <w:rsid w:val="00216103"/>
    <w:rsid w:val="00216776"/>
    <w:rsid w:val="00216A09"/>
    <w:rsid w:val="00216F07"/>
    <w:rsid w:val="002172D3"/>
    <w:rsid w:val="00217406"/>
    <w:rsid w:val="0021782A"/>
    <w:rsid w:val="00217931"/>
    <w:rsid w:val="0021795C"/>
    <w:rsid w:val="00217BFA"/>
    <w:rsid w:val="00217D11"/>
    <w:rsid w:val="002203FC"/>
    <w:rsid w:val="002206A1"/>
    <w:rsid w:val="00220C56"/>
    <w:rsid w:val="00220DF7"/>
    <w:rsid w:val="00221A9E"/>
    <w:rsid w:val="00222103"/>
    <w:rsid w:val="002223DB"/>
    <w:rsid w:val="0022276E"/>
    <w:rsid w:val="002229FA"/>
    <w:rsid w:val="00222F1A"/>
    <w:rsid w:val="00223079"/>
    <w:rsid w:val="00223387"/>
    <w:rsid w:val="002234AC"/>
    <w:rsid w:val="00224226"/>
    <w:rsid w:val="00225417"/>
    <w:rsid w:val="00225B9C"/>
    <w:rsid w:val="00225F57"/>
    <w:rsid w:val="00226AAC"/>
    <w:rsid w:val="002275D5"/>
    <w:rsid w:val="00227BD7"/>
    <w:rsid w:val="00227F83"/>
    <w:rsid w:val="002302C7"/>
    <w:rsid w:val="0023086A"/>
    <w:rsid w:val="00230AB0"/>
    <w:rsid w:val="00231004"/>
    <w:rsid w:val="00231AFC"/>
    <w:rsid w:val="00232B10"/>
    <w:rsid w:val="00233472"/>
    <w:rsid w:val="00233554"/>
    <w:rsid w:val="002335B7"/>
    <w:rsid w:val="00233708"/>
    <w:rsid w:val="0023374B"/>
    <w:rsid w:val="00233B0F"/>
    <w:rsid w:val="00233E1B"/>
    <w:rsid w:val="002344FD"/>
    <w:rsid w:val="00234BDE"/>
    <w:rsid w:val="00234C4A"/>
    <w:rsid w:val="00234E49"/>
    <w:rsid w:val="002350BC"/>
    <w:rsid w:val="00235344"/>
    <w:rsid w:val="0023548A"/>
    <w:rsid w:val="002355F3"/>
    <w:rsid w:val="0023578A"/>
    <w:rsid w:val="00235A66"/>
    <w:rsid w:val="00235BAD"/>
    <w:rsid w:val="002367E5"/>
    <w:rsid w:val="00237335"/>
    <w:rsid w:val="002375C7"/>
    <w:rsid w:val="002376AD"/>
    <w:rsid w:val="00237703"/>
    <w:rsid w:val="0023771D"/>
    <w:rsid w:val="00237785"/>
    <w:rsid w:val="0023793A"/>
    <w:rsid w:val="002379FD"/>
    <w:rsid w:val="00237C8C"/>
    <w:rsid w:val="0024003E"/>
    <w:rsid w:val="002403FF"/>
    <w:rsid w:val="0024057E"/>
    <w:rsid w:val="002406ED"/>
    <w:rsid w:val="00240953"/>
    <w:rsid w:val="00241316"/>
    <w:rsid w:val="0024158C"/>
    <w:rsid w:val="002419A5"/>
    <w:rsid w:val="0024216C"/>
    <w:rsid w:val="002421CE"/>
    <w:rsid w:val="00242C2D"/>
    <w:rsid w:val="00242DD0"/>
    <w:rsid w:val="002431C0"/>
    <w:rsid w:val="002433E5"/>
    <w:rsid w:val="002437ED"/>
    <w:rsid w:val="00244015"/>
    <w:rsid w:val="00244313"/>
    <w:rsid w:val="00244CCA"/>
    <w:rsid w:val="00244D27"/>
    <w:rsid w:val="002450A3"/>
    <w:rsid w:val="00245886"/>
    <w:rsid w:val="002458C7"/>
    <w:rsid w:val="00245E2F"/>
    <w:rsid w:val="002468A9"/>
    <w:rsid w:val="00246916"/>
    <w:rsid w:val="00246DBB"/>
    <w:rsid w:val="0024765D"/>
    <w:rsid w:val="00250069"/>
    <w:rsid w:val="00250439"/>
    <w:rsid w:val="00250575"/>
    <w:rsid w:val="002507AA"/>
    <w:rsid w:val="00250CD8"/>
    <w:rsid w:val="00251030"/>
    <w:rsid w:val="002515A6"/>
    <w:rsid w:val="0025173A"/>
    <w:rsid w:val="00251D75"/>
    <w:rsid w:val="00252459"/>
    <w:rsid w:val="0025246E"/>
    <w:rsid w:val="002526BF"/>
    <w:rsid w:val="002526FF"/>
    <w:rsid w:val="00252761"/>
    <w:rsid w:val="002528E0"/>
    <w:rsid w:val="00252939"/>
    <w:rsid w:val="00252AAA"/>
    <w:rsid w:val="00252B04"/>
    <w:rsid w:val="0025330A"/>
    <w:rsid w:val="00253527"/>
    <w:rsid w:val="00254404"/>
    <w:rsid w:val="00254441"/>
    <w:rsid w:val="00255297"/>
    <w:rsid w:val="002556D0"/>
    <w:rsid w:val="0025596A"/>
    <w:rsid w:val="00256709"/>
    <w:rsid w:val="00256A9D"/>
    <w:rsid w:val="00257285"/>
    <w:rsid w:val="002573B8"/>
    <w:rsid w:val="0025765A"/>
    <w:rsid w:val="002578B0"/>
    <w:rsid w:val="002578B3"/>
    <w:rsid w:val="002606C8"/>
    <w:rsid w:val="002606DB"/>
    <w:rsid w:val="0026094D"/>
    <w:rsid w:val="00260CCE"/>
    <w:rsid w:val="0026142C"/>
    <w:rsid w:val="00261542"/>
    <w:rsid w:val="002616C3"/>
    <w:rsid w:val="00261A4C"/>
    <w:rsid w:val="00261C60"/>
    <w:rsid w:val="002625DB"/>
    <w:rsid w:val="0026298F"/>
    <w:rsid w:val="00263229"/>
    <w:rsid w:val="00263814"/>
    <w:rsid w:val="002647E2"/>
    <w:rsid w:val="002652D6"/>
    <w:rsid w:val="0026537A"/>
    <w:rsid w:val="00265545"/>
    <w:rsid w:val="00265675"/>
    <w:rsid w:val="002662D8"/>
    <w:rsid w:val="00266409"/>
    <w:rsid w:val="002667D5"/>
    <w:rsid w:val="00266DAB"/>
    <w:rsid w:val="00266DD7"/>
    <w:rsid w:val="00266F69"/>
    <w:rsid w:val="00267231"/>
    <w:rsid w:val="00267F25"/>
    <w:rsid w:val="002700E8"/>
    <w:rsid w:val="00270580"/>
    <w:rsid w:val="0027073E"/>
    <w:rsid w:val="00270A4D"/>
    <w:rsid w:val="00270E39"/>
    <w:rsid w:val="00270E89"/>
    <w:rsid w:val="00270EB5"/>
    <w:rsid w:val="002712E7"/>
    <w:rsid w:val="002716AA"/>
    <w:rsid w:val="00272489"/>
    <w:rsid w:val="0027270F"/>
    <w:rsid w:val="00272A46"/>
    <w:rsid w:val="00272E95"/>
    <w:rsid w:val="00273566"/>
    <w:rsid w:val="0027361A"/>
    <w:rsid w:val="002738FD"/>
    <w:rsid w:val="0027392C"/>
    <w:rsid w:val="00273FCE"/>
    <w:rsid w:val="002742CA"/>
    <w:rsid w:val="00274E0F"/>
    <w:rsid w:val="00275305"/>
    <w:rsid w:val="00275758"/>
    <w:rsid w:val="002757EC"/>
    <w:rsid w:val="00275F08"/>
    <w:rsid w:val="0027611A"/>
    <w:rsid w:val="0027674B"/>
    <w:rsid w:val="00276762"/>
    <w:rsid w:val="00276B05"/>
    <w:rsid w:val="00276B7B"/>
    <w:rsid w:val="00276D98"/>
    <w:rsid w:val="0027785E"/>
    <w:rsid w:val="00277F1E"/>
    <w:rsid w:val="002801E1"/>
    <w:rsid w:val="002802CB"/>
    <w:rsid w:val="00280494"/>
    <w:rsid w:val="00280B5C"/>
    <w:rsid w:val="002811FA"/>
    <w:rsid w:val="00281320"/>
    <w:rsid w:val="00281435"/>
    <w:rsid w:val="00281F87"/>
    <w:rsid w:val="002828A0"/>
    <w:rsid w:val="00282CDF"/>
    <w:rsid w:val="00283C5A"/>
    <w:rsid w:val="00284B73"/>
    <w:rsid w:val="00285C9F"/>
    <w:rsid w:val="00286017"/>
    <w:rsid w:val="002860A1"/>
    <w:rsid w:val="0028611F"/>
    <w:rsid w:val="00286363"/>
    <w:rsid w:val="00286F3D"/>
    <w:rsid w:val="002873BB"/>
    <w:rsid w:val="00287A5E"/>
    <w:rsid w:val="00287C26"/>
    <w:rsid w:val="00287D54"/>
    <w:rsid w:val="00287F95"/>
    <w:rsid w:val="0029015C"/>
    <w:rsid w:val="002908F8"/>
    <w:rsid w:val="00290DCA"/>
    <w:rsid w:val="00291046"/>
    <w:rsid w:val="002914F0"/>
    <w:rsid w:val="00292C75"/>
    <w:rsid w:val="0029307A"/>
    <w:rsid w:val="0029337C"/>
    <w:rsid w:val="00293B4F"/>
    <w:rsid w:val="00293D42"/>
    <w:rsid w:val="00294810"/>
    <w:rsid w:val="0029481D"/>
    <w:rsid w:val="00294FC7"/>
    <w:rsid w:val="002951C3"/>
    <w:rsid w:val="002951C6"/>
    <w:rsid w:val="00295432"/>
    <w:rsid w:val="00295A7A"/>
    <w:rsid w:val="00296647"/>
    <w:rsid w:val="00296FCB"/>
    <w:rsid w:val="00297BDE"/>
    <w:rsid w:val="00297F02"/>
    <w:rsid w:val="002A02E8"/>
    <w:rsid w:val="002A07C7"/>
    <w:rsid w:val="002A183C"/>
    <w:rsid w:val="002A1980"/>
    <w:rsid w:val="002A258F"/>
    <w:rsid w:val="002A274A"/>
    <w:rsid w:val="002A2B1D"/>
    <w:rsid w:val="002A31F8"/>
    <w:rsid w:val="002A334B"/>
    <w:rsid w:val="002A482B"/>
    <w:rsid w:val="002A48C3"/>
    <w:rsid w:val="002A4F18"/>
    <w:rsid w:val="002A5114"/>
    <w:rsid w:val="002A5229"/>
    <w:rsid w:val="002A54E1"/>
    <w:rsid w:val="002A6014"/>
    <w:rsid w:val="002A606C"/>
    <w:rsid w:val="002A60EB"/>
    <w:rsid w:val="002A7034"/>
    <w:rsid w:val="002B0879"/>
    <w:rsid w:val="002B1041"/>
    <w:rsid w:val="002B114A"/>
    <w:rsid w:val="002B146B"/>
    <w:rsid w:val="002B14CF"/>
    <w:rsid w:val="002B18BD"/>
    <w:rsid w:val="002B1992"/>
    <w:rsid w:val="002B1AD8"/>
    <w:rsid w:val="002B1C57"/>
    <w:rsid w:val="002B1EEF"/>
    <w:rsid w:val="002B2569"/>
    <w:rsid w:val="002B298E"/>
    <w:rsid w:val="002B2B06"/>
    <w:rsid w:val="002B2C36"/>
    <w:rsid w:val="002B2E27"/>
    <w:rsid w:val="002B36DC"/>
    <w:rsid w:val="002B4018"/>
    <w:rsid w:val="002B401F"/>
    <w:rsid w:val="002B4094"/>
    <w:rsid w:val="002B42E1"/>
    <w:rsid w:val="002B4F2F"/>
    <w:rsid w:val="002B52AE"/>
    <w:rsid w:val="002B5300"/>
    <w:rsid w:val="002B5756"/>
    <w:rsid w:val="002B5ADF"/>
    <w:rsid w:val="002B5BE7"/>
    <w:rsid w:val="002B5D91"/>
    <w:rsid w:val="002B5FAF"/>
    <w:rsid w:val="002B763A"/>
    <w:rsid w:val="002B7941"/>
    <w:rsid w:val="002C002F"/>
    <w:rsid w:val="002C034E"/>
    <w:rsid w:val="002C0393"/>
    <w:rsid w:val="002C0482"/>
    <w:rsid w:val="002C08D0"/>
    <w:rsid w:val="002C0E26"/>
    <w:rsid w:val="002C1B80"/>
    <w:rsid w:val="002C1C71"/>
    <w:rsid w:val="002C1CE3"/>
    <w:rsid w:val="002C2757"/>
    <w:rsid w:val="002C27C7"/>
    <w:rsid w:val="002C2995"/>
    <w:rsid w:val="002C2AC2"/>
    <w:rsid w:val="002C2BCE"/>
    <w:rsid w:val="002C2CA9"/>
    <w:rsid w:val="002C32A6"/>
    <w:rsid w:val="002C383C"/>
    <w:rsid w:val="002C4DD5"/>
    <w:rsid w:val="002C4F7B"/>
    <w:rsid w:val="002C5652"/>
    <w:rsid w:val="002C5920"/>
    <w:rsid w:val="002C684B"/>
    <w:rsid w:val="002C6EF2"/>
    <w:rsid w:val="002C7100"/>
    <w:rsid w:val="002C7B4C"/>
    <w:rsid w:val="002C7E0A"/>
    <w:rsid w:val="002D0C9E"/>
    <w:rsid w:val="002D0CED"/>
    <w:rsid w:val="002D0DFA"/>
    <w:rsid w:val="002D0E62"/>
    <w:rsid w:val="002D1121"/>
    <w:rsid w:val="002D1277"/>
    <w:rsid w:val="002D17F1"/>
    <w:rsid w:val="002D1B8B"/>
    <w:rsid w:val="002D227D"/>
    <w:rsid w:val="002D230D"/>
    <w:rsid w:val="002D2481"/>
    <w:rsid w:val="002D2755"/>
    <w:rsid w:val="002D2C85"/>
    <w:rsid w:val="002D30F8"/>
    <w:rsid w:val="002D3396"/>
    <w:rsid w:val="002D38E3"/>
    <w:rsid w:val="002D3F2C"/>
    <w:rsid w:val="002D4406"/>
    <w:rsid w:val="002D47DC"/>
    <w:rsid w:val="002D486E"/>
    <w:rsid w:val="002D4B2C"/>
    <w:rsid w:val="002D5FD5"/>
    <w:rsid w:val="002D74F2"/>
    <w:rsid w:val="002D7C65"/>
    <w:rsid w:val="002E068B"/>
    <w:rsid w:val="002E06BA"/>
    <w:rsid w:val="002E1598"/>
    <w:rsid w:val="002E1605"/>
    <w:rsid w:val="002E1882"/>
    <w:rsid w:val="002E1B28"/>
    <w:rsid w:val="002E1EA5"/>
    <w:rsid w:val="002E30AE"/>
    <w:rsid w:val="002E3203"/>
    <w:rsid w:val="002E33AC"/>
    <w:rsid w:val="002E3914"/>
    <w:rsid w:val="002E431C"/>
    <w:rsid w:val="002E4561"/>
    <w:rsid w:val="002E4D8E"/>
    <w:rsid w:val="002E4EDB"/>
    <w:rsid w:val="002E5781"/>
    <w:rsid w:val="002E5D7A"/>
    <w:rsid w:val="002E6054"/>
    <w:rsid w:val="002E6786"/>
    <w:rsid w:val="002E6A0A"/>
    <w:rsid w:val="002E6DCF"/>
    <w:rsid w:val="002E7843"/>
    <w:rsid w:val="002E7A09"/>
    <w:rsid w:val="002E7C9D"/>
    <w:rsid w:val="002E7F5A"/>
    <w:rsid w:val="002F003B"/>
    <w:rsid w:val="002F09D7"/>
    <w:rsid w:val="002F0BF1"/>
    <w:rsid w:val="002F11BC"/>
    <w:rsid w:val="002F164A"/>
    <w:rsid w:val="002F18AA"/>
    <w:rsid w:val="002F24E9"/>
    <w:rsid w:val="002F3257"/>
    <w:rsid w:val="002F3614"/>
    <w:rsid w:val="002F460E"/>
    <w:rsid w:val="002F4B5F"/>
    <w:rsid w:val="002F53A3"/>
    <w:rsid w:val="002F53DF"/>
    <w:rsid w:val="002F5822"/>
    <w:rsid w:val="002F64BE"/>
    <w:rsid w:val="002F6540"/>
    <w:rsid w:val="002F67DC"/>
    <w:rsid w:val="002F6B27"/>
    <w:rsid w:val="002F6B4A"/>
    <w:rsid w:val="002F73F2"/>
    <w:rsid w:val="002F74BE"/>
    <w:rsid w:val="002F77F2"/>
    <w:rsid w:val="00300192"/>
    <w:rsid w:val="00300272"/>
    <w:rsid w:val="00301C71"/>
    <w:rsid w:val="00302286"/>
    <w:rsid w:val="003023C7"/>
    <w:rsid w:val="0030352F"/>
    <w:rsid w:val="0030363F"/>
    <w:rsid w:val="00303E45"/>
    <w:rsid w:val="00303F6B"/>
    <w:rsid w:val="00304001"/>
    <w:rsid w:val="0030420A"/>
    <w:rsid w:val="00304677"/>
    <w:rsid w:val="0030484E"/>
    <w:rsid w:val="003048A4"/>
    <w:rsid w:val="00304BA0"/>
    <w:rsid w:val="003058B7"/>
    <w:rsid w:val="003058D9"/>
    <w:rsid w:val="0030624D"/>
    <w:rsid w:val="00306975"/>
    <w:rsid w:val="0030697C"/>
    <w:rsid w:val="00306E58"/>
    <w:rsid w:val="003071CB"/>
    <w:rsid w:val="003074CC"/>
    <w:rsid w:val="0030757F"/>
    <w:rsid w:val="00307DB1"/>
    <w:rsid w:val="0031053D"/>
    <w:rsid w:val="00311174"/>
    <w:rsid w:val="0031144D"/>
    <w:rsid w:val="00311907"/>
    <w:rsid w:val="00311972"/>
    <w:rsid w:val="00311A9F"/>
    <w:rsid w:val="00311EC1"/>
    <w:rsid w:val="00312FFC"/>
    <w:rsid w:val="0031314C"/>
    <w:rsid w:val="00313944"/>
    <w:rsid w:val="00314847"/>
    <w:rsid w:val="00315720"/>
    <w:rsid w:val="00315C32"/>
    <w:rsid w:val="00315FE7"/>
    <w:rsid w:val="003160DD"/>
    <w:rsid w:val="00316DFA"/>
    <w:rsid w:val="00317749"/>
    <w:rsid w:val="00317797"/>
    <w:rsid w:val="00320209"/>
    <w:rsid w:val="003208A1"/>
    <w:rsid w:val="00321514"/>
    <w:rsid w:val="003216AB"/>
    <w:rsid w:val="00321A80"/>
    <w:rsid w:val="0032256B"/>
    <w:rsid w:val="00323521"/>
    <w:rsid w:val="003242BA"/>
    <w:rsid w:val="0032462E"/>
    <w:rsid w:val="0032487C"/>
    <w:rsid w:val="00324ABC"/>
    <w:rsid w:val="00324B04"/>
    <w:rsid w:val="00324CF6"/>
    <w:rsid w:val="00324DE0"/>
    <w:rsid w:val="0032511C"/>
    <w:rsid w:val="0032524B"/>
    <w:rsid w:val="00325533"/>
    <w:rsid w:val="00325783"/>
    <w:rsid w:val="003257B6"/>
    <w:rsid w:val="00326647"/>
    <w:rsid w:val="00327066"/>
    <w:rsid w:val="00327156"/>
    <w:rsid w:val="00327DF1"/>
    <w:rsid w:val="00330266"/>
    <w:rsid w:val="0033057D"/>
    <w:rsid w:val="00330798"/>
    <w:rsid w:val="00330A05"/>
    <w:rsid w:val="00330C8F"/>
    <w:rsid w:val="00330D83"/>
    <w:rsid w:val="003310CC"/>
    <w:rsid w:val="0033140B"/>
    <w:rsid w:val="003317AA"/>
    <w:rsid w:val="00331C7F"/>
    <w:rsid w:val="00331F75"/>
    <w:rsid w:val="00332033"/>
    <w:rsid w:val="00332178"/>
    <w:rsid w:val="00332439"/>
    <w:rsid w:val="003328A5"/>
    <w:rsid w:val="0033313A"/>
    <w:rsid w:val="00333AFB"/>
    <w:rsid w:val="00334216"/>
    <w:rsid w:val="00334729"/>
    <w:rsid w:val="003356BB"/>
    <w:rsid w:val="0033593C"/>
    <w:rsid w:val="003360A0"/>
    <w:rsid w:val="00336305"/>
    <w:rsid w:val="00336729"/>
    <w:rsid w:val="003369BA"/>
    <w:rsid w:val="00336A6A"/>
    <w:rsid w:val="00336AD3"/>
    <w:rsid w:val="00336FFF"/>
    <w:rsid w:val="003379CE"/>
    <w:rsid w:val="00340106"/>
    <w:rsid w:val="0034060D"/>
    <w:rsid w:val="003408D4"/>
    <w:rsid w:val="003412E4"/>
    <w:rsid w:val="003419EA"/>
    <w:rsid w:val="00341A38"/>
    <w:rsid w:val="0034209A"/>
    <w:rsid w:val="003426B9"/>
    <w:rsid w:val="003426EB"/>
    <w:rsid w:val="00342AAF"/>
    <w:rsid w:val="00342B2A"/>
    <w:rsid w:val="003435C9"/>
    <w:rsid w:val="00343C14"/>
    <w:rsid w:val="00343DD0"/>
    <w:rsid w:val="003440D8"/>
    <w:rsid w:val="00344A04"/>
    <w:rsid w:val="00344A85"/>
    <w:rsid w:val="00344B00"/>
    <w:rsid w:val="00344F49"/>
    <w:rsid w:val="00345035"/>
    <w:rsid w:val="003451E1"/>
    <w:rsid w:val="00345C35"/>
    <w:rsid w:val="00345D21"/>
    <w:rsid w:val="003460F8"/>
    <w:rsid w:val="003461F1"/>
    <w:rsid w:val="00346E9E"/>
    <w:rsid w:val="003471C4"/>
    <w:rsid w:val="00350379"/>
    <w:rsid w:val="00350773"/>
    <w:rsid w:val="00350D7E"/>
    <w:rsid w:val="00351073"/>
    <w:rsid w:val="00351176"/>
    <w:rsid w:val="00351A95"/>
    <w:rsid w:val="00351C18"/>
    <w:rsid w:val="00351D2F"/>
    <w:rsid w:val="0035233E"/>
    <w:rsid w:val="003523B8"/>
    <w:rsid w:val="003524FF"/>
    <w:rsid w:val="0035309F"/>
    <w:rsid w:val="00353159"/>
    <w:rsid w:val="003535FB"/>
    <w:rsid w:val="00353A7E"/>
    <w:rsid w:val="00354210"/>
    <w:rsid w:val="0035462A"/>
    <w:rsid w:val="003550C4"/>
    <w:rsid w:val="003552A0"/>
    <w:rsid w:val="00355B51"/>
    <w:rsid w:val="00355C3F"/>
    <w:rsid w:val="00355E6C"/>
    <w:rsid w:val="00356041"/>
    <w:rsid w:val="003569BB"/>
    <w:rsid w:val="00357153"/>
    <w:rsid w:val="003573A2"/>
    <w:rsid w:val="00357486"/>
    <w:rsid w:val="00357856"/>
    <w:rsid w:val="00357D79"/>
    <w:rsid w:val="00357F68"/>
    <w:rsid w:val="00357F8C"/>
    <w:rsid w:val="003601A6"/>
    <w:rsid w:val="00360704"/>
    <w:rsid w:val="003608D0"/>
    <w:rsid w:val="0036094E"/>
    <w:rsid w:val="0036096D"/>
    <w:rsid w:val="00360E96"/>
    <w:rsid w:val="00360EB5"/>
    <w:rsid w:val="00361007"/>
    <w:rsid w:val="003610F4"/>
    <w:rsid w:val="0036137D"/>
    <w:rsid w:val="003618AB"/>
    <w:rsid w:val="00363391"/>
    <w:rsid w:val="00363C78"/>
    <w:rsid w:val="00363E09"/>
    <w:rsid w:val="00363E85"/>
    <w:rsid w:val="00364127"/>
    <w:rsid w:val="003647B2"/>
    <w:rsid w:val="00364CD4"/>
    <w:rsid w:val="0036540E"/>
    <w:rsid w:val="00365638"/>
    <w:rsid w:val="0036589F"/>
    <w:rsid w:val="003658C7"/>
    <w:rsid w:val="00365AE4"/>
    <w:rsid w:val="00365DB5"/>
    <w:rsid w:val="00366422"/>
    <w:rsid w:val="00366490"/>
    <w:rsid w:val="003665AB"/>
    <w:rsid w:val="00366C35"/>
    <w:rsid w:val="00366CA9"/>
    <w:rsid w:val="00366FA1"/>
    <w:rsid w:val="00367A39"/>
    <w:rsid w:val="00367FEB"/>
    <w:rsid w:val="00370774"/>
    <w:rsid w:val="0037082F"/>
    <w:rsid w:val="00370B40"/>
    <w:rsid w:val="00370B82"/>
    <w:rsid w:val="00370D43"/>
    <w:rsid w:val="0037101E"/>
    <w:rsid w:val="003713C2"/>
    <w:rsid w:val="00371602"/>
    <w:rsid w:val="00372648"/>
    <w:rsid w:val="003726EB"/>
    <w:rsid w:val="00373AAB"/>
    <w:rsid w:val="00373B31"/>
    <w:rsid w:val="0037466C"/>
    <w:rsid w:val="00374FA3"/>
    <w:rsid w:val="003758F1"/>
    <w:rsid w:val="00376504"/>
    <w:rsid w:val="00376B0B"/>
    <w:rsid w:val="0037735C"/>
    <w:rsid w:val="0037766B"/>
    <w:rsid w:val="00377837"/>
    <w:rsid w:val="00377BD4"/>
    <w:rsid w:val="00380089"/>
    <w:rsid w:val="0038033F"/>
    <w:rsid w:val="0038065A"/>
    <w:rsid w:val="00380C2D"/>
    <w:rsid w:val="00380D9D"/>
    <w:rsid w:val="003814B1"/>
    <w:rsid w:val="0038150F"/>
    <w:rsid w:val="00381777"/>
    <w:rsid w:val="00381BA7"/>
    <w:rsid w:val="003821BD"/>
    <w:rsid w:val="003828D2"/>
    <w:rsid w:val="00382CD8"/>
    <w:rsid w:val="003833F2"/>
    <w:rsid w:val="00383CAA"/>
    <w:rsid w:val="00383EDA"/>
    <w:rsid w:val="003845FF"/>
    <w:rsid w:val="003848F1"/>
    <w:rsid w:val="003848FC"/>
    <w:rsid w:val="00384B05"/>
    <w:rsid w:val="00384CAB"/>
    <w:rsid w:val="00385020"/>
    <w:rsid w:val="003852E2"/>
    <w:rsid w:val="003857EF"/>
    <w:rsid w:val="00385AA1"/>
    <w:rsid w:val="00385B7F"/>
    <w:rsid w:val="00385FEA"/>
    <w:rsid w:val="003862B0"/>
    <w:rsid w:val="0038740D"/>
    <w:rsid w:val="0038795B"/>
    <w:rsid w:val="00390251"/>
    <w:rsid w:val="00390465"/>
    <w:rsid w:val="003908A4"/>
    <w:rsid w:val="003909A4"/>
    <w:rsid w:val="00390D14"/>
    <w:rsid w:val="00391569"/>
    <w:rsid w:val="00391CCB"/>
    <w:rsid w:val="003927E7"/>
    <w:rsid w:val="00392A76"/>
    <w:rsid w:val="00392E72"/>
    <w:rsid w:val="00393ABD"/>
    <w:rsid w:val="00393E08"/>
    <w:rsid w:val="00393ED7"/>
    <w:rsid w:val="00394658"/>
    <w:rsid w:val="00394E88"/>
    <w:rsid w:val="00395D78"/>
    <w:rsid w:val="00395DA8"/>
    <w:rsid w:val="00395E65"/>
    <w:rsid w:val="003966AD"/>
    <w:rsid w:val="0039698B"/>
    <w:rsid w:val="00396AC8"/>
    <w:rsid w:val="00396B01"/>
    <w:rsid w:val="00396C74"/>
    <w:rsid w:val="00396FF1"/>
    <w:rsid w:val="003977BF"/>
    <w:rsid w:val="00397891"/>
    <w:rsid w:val="003A0323"/>
    <w:rsid w:val="003A04F0"/>
    <w:rsid w:val="003A0A72"/>
    <w:rsid w:val="003A0B72"/>
    <w:rsid w:val="003A0BAA"/>
    <w:rsid w:val="003A0CD7"/>
    <w:rsid w:val="003A100F"/>
    <w:rsid w:val="003A1128"/>
    <w:rsid w:val="003A1F47"/>
    <w:rsid w:val="003A23E9"/>
    <w:rsid w:val="003A24A0"/>
    <w:rsid w:val="003A253A"/>
    <w:rsid w:val="003A2655"/>
    <w:rsid w:val="003A26FD"/>
    <w:rsid w:val="003A356E"/>
    <w:rsid w:val="003A35E7"/>
    <w:rsid w:val="003A3786"/>
    <w:rsid w:val="003A45DF"/>
    <w:rsid w:val="003A4922"/>
    <w:rsid w:val="003A53AD"/>
    <w:rsid w:val="003A5531"/>
    <w:rsid w:val="003A5776"/>
    <w:rsid w:val="003A57AF"/>
    <w:rsid w:val="003A608E"/>
    <w:rsid w:val="003A673E"/>
    <w:rsid w:val="003A6B47"/>
    <w:rsid w:val="003A6D37"/>
    <w:rsid w:val="003A743B"/>
    <w:rsid w:val="003A766E"/>
    <w:rsid w:val="003A7A8B"/>
    <w:rsid w:val="003B041B"/>
    <w:rsid w:val="003B0608"/>
    <w:rsid w:val="003B0DE8"/>
    <w:rsid w:val="003B1468"/>
    <w:rsid w:val="003B1708"/>
    <w:rsid w:val="003B1873"/>
    <w:rsid w:val="003B1C31"/>
    <w:rsid w:val="003B22C9"/>
    <w:rsid w:val="003B2734"/>
    <w:rsid w:val="003B2D74"/>
    <w:rsid w:val="003B2E08"/>
    <w:rsid w:val="003B32EE"/>
    <w:rsid w:val="003B3428"/>
    <w:rsid w:val="003B3CC7"/>
    <w:rsid w:val="003B3DA0"/>
    <w:rsid w:val="003B4390"/>
    <w:rsid w:val="003B4957"/>
    <w:rsid w:val="003B4B3C"/>
    <w:rsid w:val="003B4FE4"/>
    <w:rsid w:val="003B53F8"/>
    <w:rsid w:val="003B597C"/>
    <w:rsid w:val="003B59EF"/>
    <w:rsid w:val="003B5CD5"/>
    <w:rsid w:val="003B5DD8"/>
    <w:rsid w:val="003B61C8"/>
    <w:rsid w:val="003B6BCB"/>
    <w:rsid w:val="003B6BF8"/>
    <w:rsid w:val="003B7051"/>
    <w:rsid w:val="003B7C2E"/>
    <w:rsid w:val="003C0BD3"/>
    <w:rsid w:val="003C1762"/>
    <w:rsid w:val="003C17EF"/>
    <w:rsid w:val="003C1B86"/>
    <w:rsid w:val="003C1F12"/>
    <w:rsid w:val="003C324B"/>
    <w:rsid w:val="003C3B1B"/>
    <w:rsid w:val="003C50CA"/>
    <w:rsid w:val="003C5AC4"/>
    <w:rsid w:val="003C5F44"/>
    <w:rsid w:val="003C6662"/>
    <w:rsid w:val="003C672B"/>
    <w:rsid w:val="003D0C41"/>
    <w:rsid w:val="003D11EE"/>
    <w:rsid w:val="003D124C"/>
    <w:rsid w:val="003D167C"/>
    <w:rsid w:val="003D1EC4"/>
    <w:rsid w:val="003D1F2C"/>
    <w:rsid w:val="003D2590"/>
    <w:rsid w:val="003D2ABF"/>
    <w:rsid w:val="003D2F9B"/>
    <w:rsid w:val="003D31A9"/>
    <w:rsid w:val="003D32B6"/>
    <w:rsid w:val="003D348B"/>
    <w:rsid w:val="003D36A1"/>
    <w:rsid w:val="003D3A36"/>
    <w:rsid w:val="003D414C"/>
    <w:rsid w:val="003D440A"/>
    <w:rsid w:val="003D48FA"/>
    <w:rsid w:val="003D535E"/>
    <w:rsid w:val="003D5403"/>
    <w:rsid w:val="003D68C2"/>
    <w:rsid w:val="003D6FB1"/>
    <w:rsid w:val="003D70DA"/>
    <w:rsid w:val="003D75FE"/>
    <w:rsid w:val="003D78F6"/>
    <w:rsid w:val="003D7C97"/>
    <w:rsid w:val="003E0066"/>
    <w:rsid w:val="003E074B"/>
    <w:rsid w:val="003E0781"/>
    <w:rsid w:val="003E07B8"/>
    <w:rsid w:val="003E09EB"/>
    <w:rsid w:val="003E0F07"/>
    <w:rsid w:val="003E1189"/>
    <w:rsid w:val="003E1543"/>
    <w:rsid w:val="003E15D4"/>
    <w:rsid w:val="003E18D6"/>
    <w:rsid w:val="003E1A09"/>
    <w:rsid w:val="003E1AAE"/>
    <w:rsid w:val="003E1BB1"/>
    <w:rsid w:val="003E1FE2"/>
    <w:rsid w:val="003E25B1"/>
    <w:rsid w:val="003E28BD"/>
    <w:rsid w:val="003E2E00"/>
    <w:rsid w:val="003E3B98"/>
    <w:rsid w:val="003E3F74"/>
    <w:rsid w:val="003E4B46"/>
    <w:rsid w:val="003E4D48"/>
    <w:rsid w:val="003E4DCF"/>
    <w:rsid w:val="003E5097"/>
    <w:rsid w:val="003E512E"/>
    <w:rsid w:val="003E51F4"/>
    <w:rsid w:val="003E57CB"/>
    <w:rsid w:val="003E59E7"/>
    <w:rsid w:val="003E5F0E"/>
    <w:rsid w:val="003E6003"/>
    <w:rsid w:val="003E60F5"/>
    <w:rsid w:val="003E6579"/>
    <w:rsid w:val="003E66CA"/>
    <w:rsid w:val="003E688C"/>
    <w:rsid w:val="003E71F7"/>
    <w:rsid w:val="003E72E6"/>
    <w:rsid w:val="003E7698"/>
    <w:rsid w:val="003E7934"/>
    <w:rsid w:val="003E7C6F"/>
    <w:rsid w:val="003E7F9E"/>
    <w:rsid w:val="003F0452"/>
    <w:rsid w:val="003F137E"/>
    <w:rsid w:val="003F16D7"/>
    <w:rsid w:val="003F1818"/>
    <w:rsid w:val="003F18B6"/>
    <w:rsid w:val="003F1CC3"/>
    <w:rsid w:val="003F2B8D"/>
    <w:rsid w:val="003F2F63"/>
    <w:rsid w:val="003F3983"/>
    <w:rsid w:val="003F3AB9"/>
    <w:rsid w:val="003F4541"/>
    <w:rsid w:val="003F46F8"/>
    <w:rsid w:val="003F476B"/>
    <w:rsid w:val="003F485A"/>
    <w:rsid w:val="003F494F"/>
    <w:rsid w:val="003F49BC"/>
    <w:rsid w:val="003F4CAE"/>
    <w:rsid w:val="003F4D8C"/>
    <w:rsid w:val="003F5495"/>
    <w:rsid w:val="003F5905"/>
    <w:rsid w:val="003F5C44"/>
    <w:rsid w:val="003F62D8"/>
    <w:rsid w:val="003F700B"/>
    <w:rsid w:val="0040000F"/>
    <w:rsid w:val="00400A9F"/>
    <w:rsid w:val="00402243"/>
    <w:rsid w:val="00402340"/>
    <w:rsid w:val="00402853"/>
    <w:rsid w:val="00402C26"/>
    <w:rsid w:val="00402FF9"/>
    <w:rsid w:val="00402FFF"/>
    <w:rsid w:val="0040305C"/>
    <w:rsid w:val="00403135"/>
    <w:rsid w:val="00403461"/>
    <w:rsid w:val="00403547"/>
    <w:rsid w:val="00403681"/>
    <w:rsid w:val="00403B6A"/>
    <w:rsid w:val="00404011"/>
    <w:rsid w:val="00404039"/>
    <w:rsid w:val="0040460F"/>
    <w:rsid w:val="00404AD9"/>
    <w:rsid w:val="00404DFD"/>
    <w:rsid w:val="00405032"/>
    <w:rsid w:val="00405052"/>
    <w:rsid w:val="004055EF"/>
    <w:rsid w:val="004057E2"/>
    <w:rsid w:val="00405E73"/>
    <w:rsid w:val="00405ED0"/>
    <w:rsid w:val="00406131"/>
    <w:rsid w:val="004062DB"/>
    <w:rsid w:val="00406D4B"/>
    <w:rsid w:val="0040703F"/>
    <w:rsid w:val="0040788D"/>
    <w:rsid w:val="00407AA0"/>
    <w:rsid w:val="00407CC1"/>
    <w:rsid w:val="00407D59"/>
    <w:rsid w:val="004114E5"/>
    <w:rsid w:val="00411F33"/>
    <w:rsid w:val="004120E0"/>
    <w:rsid w:val="00412690"/>
    <w:rsid w:val="004127D4"/>
    <w:rsid w:val="00413347"/>
    <w:rsid w:val="00413693"/>
    <w:rsid w:val="00413B90"/>
    <w:rsid w:val="00414C9C"/>
    <w:rsid w:val="00414DB5"/>
    <w:rsid w:val="00414F41"/>
    <w:rsid w:val="0041558C"/>
    <w:rsid w:val="00415692"/>
    <w:rsid w:val="004158B2"/>
    <w:rsid w:val="00415C76"/>
    <w:rsid w:val="00415F8F"/>
    <w:rsid w:val="004164B0"/>
    <w:rsid w:val="004166CD"/>
    <w:rsid w:val="00416A66"/>
    <w:rsid w:val="00416BBC"/>
    <w:rsid w:val="004174E4"/>
    <w:rsid w:val="0042041B"/>
    <w:rsid w:val="00421466"/>
    <w:rsid w:val="0042261F"/>
    <w:rsid w:val="004229A6"/>
    <w:rsid w:val="00422D4D"/>
    <w:rsid w:val="004232C9"/>
    <w:rsid w:val="004232F8"/>
    <w:rsid w:val="00423503"/>
    <w:rsid w:val="00423832"/>
    <w:rsid w:val="00423DB6"/>
    <w:rsid w:val="00423F05"/>
    <w:rsid w:val="004242C8"/>
    <w:rsid w:val="0042493F"/>
    <w:rsid w:val="00424FCC"/>
    <w:rsid w:val="0042564F"/>
    <w:rsid w:val="00426329"/>
    <w:rsid w:val="00426C86"/>
    <w:rsid w:val="0042707B"/>
    <w:rsid w:val="004270BE"/>
    <w:rsid w:val="00427341"/>
    <w:rsid w:val="00427569"/>
    <w:rsid w:val="00427947"/>
    <w:rsid w:val="00430167"/>
    <w:rsid w:val="00430633"/>
    <w:rsid w:val="0043084C"/>
    <w:rsid w:val="00431144"/>
    <w:rsid w:val="00431514"/>
    <w:rsid w:val="00431B7E"/>
    <w:rsid w:val="00431D41"/>
    <w:rsid w:val="00431D82"/>
    <w:rsid w:val="0043268C"/>
    <w:rsid w:val="004327DD"/>
    <w:rsid w:val="00433655"/>
    <w:rsid w:val="004338BC"/>
    <w:rsid w:val="004339CD"/>
    <w:rsid w:val="004343E4"/>
    <w:rsid w:val="00434987"/>
    <w:rsid w:val="00434CA1"/>
    <w:rsid w:val="00434DAC"/>
    <w:rsid w:val="00434EB7"/>
    <w:rsid w:val="00435513"/>
    <w:rsid w:val="004356CB"/>
    <w:rsid w:val="0043599B"/>
    <w:rsid w:val="00435AB6"/>
    <w:rsid w:val="0043640C"/>
    <w:rsid w:val="004367BD"/>
    <w:rsid w:val="004369E2"/>
    <w:rsid w:val="00436D10"/>
    <w:rsid w:val="00437575"/>
    <w:rsid w:val="004376FB"/>
    <w:rsid w:val="00437B5D"/>
    <w:rsid w:val="004405E4"/>
    <w:rsid w:val="00440904"/>
    <w:rsid w:val="00440E95"/>
    <w:rsid w:val="00441053"/>
    <w:rsid w:val="0044184D"/>
    <w:rsid w:val="00441BF1"/>
    <w:rsid w:val="004421E8"/>
    <w:rsid w:val="00442234"/>
    <w:rsid w:val="0044257C"/>
    <w:rsid w:val="0044288F"/>
    <w:rsid w:val="00442F03"/>
    <w:rsid w:val="00444135"/>
    <w:rsid w:val="0044469F"/>
    <w:rsid w:val="0044481F"/>
    <w:rsid w:val="00444AE3"/>
    <w:rsid w:val="004451EB"/>
    <w:rsid w:val="0044524D"/>
    <w:rsid w:val="004454D2"/>
    <w:rsid w:val="00445AB2"/>
    <w:rsid w:val="004463F4"/>
    <w:rsid w:val="004463FC"/>
    <w:rsid w:val="0044649D"/>
    <w:rsid w:val="00446554"/>
    <w:rsid w:val="004467A5"/>
    <w:rsid w:val="00446812"/>
    <w:rsid w:val="004471DF"/>
    <w:rsid w:val="0044782D"/>
    <w:rsid w:val="00447BA5"/>
    <w:rsid w:val="00447D0B"/>
    <w:rsid w:val="00447FAF"/>
    <w:rsid w:val="0045014B"/>
    <w:rsid w:val="00450D37"/>
    <w:rsid w:val="004516D9"/>
    <w:rsid w:val="004516EF"/>
    <w:rsid w:val="00451BA3"/>
    <w:rsid w:val="00451D6D"/>
    <w:rsid w:val="004526EE"/>
    <w:rsid w:val="004528C6"/>
    <w:rsid w:val="004530BD"/>
    <w:rsid w:val="0045381D"/>
    <w:rsid w:val="00453D4C"/>
    <w:rsid w:val="004543CA"/>
    <w:rsid w:val="00454E93"/>
    <w:rsid w:val="00455876"/>
    <w:rsid w:val="0045596A"/>
    <w:rsid w:val="00455E5C"/>
    <w:rsid w:val="0045694C"/>
    <w:rsid w:val="004569F8"/>
    <w:rsid w:val="00456AC2"/>
    <w:rsid w:val="00457A51"/>
    <w:rsid w:val="00457D31"/>
    <w:rsid w:val="00457E01"/>
    <w:rsid w:val="00460198"/>
    <w:rsid w:val="00460311"/>
    <w:rsid w:val="004607F7"/>
    <w:rsid w:val="00460DBC"/>
    <w:rsid w:val="00460FAD"/>
    <w:rsid w:val="00461031"/>
    <w:rsid w:val="00461302"/>
    <w:rsid w:val="0046158F"/>
    <w:rsid w:val="00461775"/>
    <w:rsid w:val="0046208D"/>
    <w:rsid w:val="0046218B"/>
    <w:rsid w:val="004622F6"/>
    <w:rsid w:val="00462519"/>
    <w:rsid w:val="00462D34"/>
    <w:rsid w:val="004630D3"/>
    <w:rsid w:val="004633AE"/>
    <w:rsid w:val="00464267"/>
    <w:rsid w:val="004642FC"/>
    <w:rsid w:val="004648C9"/>
    <w:rsid w:val="00464A47"/>
    <w:rsid w:val="00464DF6"/>
    <w:rsid w:val="00464E78"/>
    <w:rsid w:val="004653F9"/>
    <w:rsid w:val="004654B2"/>
    <w:rsid w:val="00465511"/>
    <w:rsid w:val="00465E9C"/>
    <w:rsid w:val="00466A11"/>
    <w:rsid w:val="00466FC9"/>
    <w:rsid w:val="0046732D"/>
    <w:rsid w:val="00467352"/>
    <w:rsid w:val="00467834"/>
    <w:rsid w:val="00467D4E"/>
    <w:rsid w:val="0047047F"/>
    <w:rsid w:val="004709C4"/>
    <w:rsid w:val="00470BE1"/>
    <w:rsid w:val="00470E85"/>
    <w:rsid w:val="004714D9"/>
    <w:rsid w:val="00471852"/>
    <w:rsid w:val="00471C29"/>
    <w:rsid w:val="00471C51"/>
    <w:rsid w:val="00471DA0"/>
    <w:rsid w:val="00471DA2"/>
    <w:rsid w:val="00472880"/>
    <w:rsid w:val="00472D6A"/>
    <w:rsid w:val="00472F73"/>
    <w:rsid w:val="0047327C"/>
    <w:rsid w:val="004732F0"/>
    <w:rsid w:val="004738B3"/>
    <w:rsid w:val="00473C2C"/>
    <w:rsid w:val="00474015"/>
    <w:rsid w:val="00474644"/>
    <w:rsid w:val="00474BA4"/>
    <w:rsid w:val="00474CA3"/>
    <w:rsid w:val="00474DAE"/>
    <w:rsid w:val="00475024"/>
    <w:rsid w:val="004751B1"/>
    <w:rsid w:val="00475283"/>
    <w:rsid w:val="004755F5"/>
    <w:rsid w:val="004757FE"/>
    <w:rsid w:val="00475940"/>
    <w:rsid w:val="004762D6"/>
    <w:rsid w:val="0047639B"/>
    <w:rsid w:val="0047683C"/>
    <w:rsid w:val="004769D1"/>
    <w:rsid w:val="00476FF4"/>
    <w:rsid w:val="0047720E"/>
    <w:rsid w:val="004775C1"/>
    <w:rsid w:val="004775C8"/>
    <w:rsid w:val="004775F9"/>
    <w:rsid w:val="004776ED"/>
    <w:rsid w:val="00480181"/>
    <w:rsid w:val="00480390"/>
    <w:rsid w:val="00480976"/>
    <w:rsid w:val="00480C70"/>
    <w:rsid w:val="00480F72"/>
    <w:rsid w:val="00481041"/>
    <w:rsid w:val="00481047"/>
    <w:rsid w:val="004810D2"/>
    <w:rsid w:val="0048129A"/>
    <w:rsid w:val="00481FBA"/>
    <w:rsid w:val="00482434"/>
    <w:rsid w:val="0048321D"/>
    <w:rsid w:val="0048345E"/>
    <w:rsid w:val="004839BC"/>
    <w:rsid w:val="004844C1"/>
    <w:rsid w:val="004845DA"/>
    <w:rsid w:val="00484B8A"/>
    <w:rsid w:val="00484CD6"/>
    <w:rsid w:val="00484DAC"/>
    <w:rsid w:val="00485080"/>
    <w:rsid w:val="004857C2"/>
    <w:rsid w:val="004859AF"/>
    <w:rsid w:val="00485CD8"/>
    <w:rsid w:val="00485CDA"/>
    <w:rsid w:val="004861B7"/>
    <w:rsid w:val="00486573"/>
    <w:rsid w:val="0048659E"/>
    <w:rsid w:val="0048728F"/>
    <w:rsid w:val="00487400"/>
    <w:rsid w:val="004875D6"/>
    <w:rsid w:val="0049076E"/>
    <w:rsid w:val="00490BF0"/>
    <w:rsid w:val="00491054"/>
    <w:rsid w:val="004912CC"/>
    <w:rsid w:val="004919D5"/>
    <w:rsid w:val="00491D1E"/>
    <w:rsid w:val="00491D22"/>
    <w:rsid w:val="00491F4B"/>
    <w:rsid w:val="004924B1"/>
    <w:rsid w:val="004928FF"/>
    <w:rsid w:val="00492DE0"/>
    <w:rsid w:val="00492F47"/>
    <w:rsid w:val="0049336E"/>
    <w:rsid w:val="00494369"/>
    <w:rsid w:val="00494584"/>
    <w:rsid w:val="00495FB4"/>
    <w:rsid w:val="00496491"/>
    <w:rsid w:val="00496B55"/>
    <w:rsid w:val="00496DD9"/>
    <w:rsid w:val="0049743A"/>
    <w:rsid w:val="004974C2"/>
    <w:rsid w:val="004A08D5"/>
    <w:rsid w:val="004A0A62"/>
    <w:rsid w:val="004A0B10"/>
    <w:rsid w:val="004A109C"/>
    <w:rsid w:val="004A162A"/>
    <w:rsid w:val="004A1A6F"/>
    <w:rsid w:val="004A1DC8"/>
    <w:rsid w:val="004A25FC"/>
    <w:rsid w:val="004A2644"/>
    <w:rsid w:val="004A2A98"/>
    <w:rsid w:val="004A2B2B"/>
    <w:rsid w:val="004A2C8B"/>
    <w:rsid w:val="004A3057"/>
    <w:rsid w:val="004A3734"/>
    <w:rsid w:val="004A3803"/>
    <w:rsid w:val="004A3FF8"/>
    <w:rsid w:val="004A414A"/>
    <w:rsid w:val="004A4D00"/>
    <w:rsid w:val="004A4F32"/>
    <w:rsid w:val="004A50E7"/>
    <w:rsid w:val="004A519E"/>
    <w:rsid w:val="004A5634"/>
    <w:rsid w:val="004A62A1"/>
    <w:rsid w:val="004A765A"/>
    <w:rsid w:val="004A7BB4"/>
    <w:rsid w:val="004B0803"/>
    <w:rsid w:val="004B0876"/>
    <w:rsid w:val="004B0B3B"/>
    <w:rsid w:val="004B0E3D"/>
    <w:rsid w:val="004B0F10"/>
    <w:rsid w:val="004B1542"/>
    <w:rsid w:val="004B167C"/>
    <w:rsid w:val="004B1C39"/>
    <w:rsid w:val="004B2B25"/>
    <w:rsid w:val="004B3253"/>
    <w:rsid w:val="004B3496"/>
    <w:rsid w:val="004B353E"/>
    <w:rsid w:val="004B35B5"/>
    <w:rsid w:val="004B3F88"/>
    <w:rsid w:val="004B4044"/>
    <w:rsid w:val="004B404E"/>
    <w:rsid w:val="004B47C4"/>
    <w:rsid w:val="004B506D"/>
    <w:rsid w:val="004B5661"/>
    <w:rsid w:val="004B65B8"/>
    <w:rsid w:val="004B6AD7"/>
    <w:rsid w:val="004B6C30"/>
    <w:rsid w:val="004B6F07"/>
    <w:rsid w:val="004B777A"/>
    <w:rsid w:val="004B7A15"/>
    <w:rsid w:val="004C03BB"/>
    <w:rsid w:val="004C0A90"/>
    <w:rsid w:val="004C0DD9"/>
    <w:rsid w:val="004C19BE"/>
    <w:rsid w:val="004C1ABC"/>
    <w:rsid w:val="004C2532"/>
    <w:rsid w:val="004C30B1"/>
    <w:rsid w:val="004C4004"/>
    <w:rsid w:val="004C406F"/>
    <w:rsid w:val="004C4137"/>
    <w:rsid w:val="004C42BD"/>
    <w:rsid w:val="004C4D9A"/>
    <w:rsid w:val="004C51D5"/>
    <w:rsid w:val="004C54A2"/>
    <w:rsid w:val="004C57FD"/>
    <w:rsid w:val="004C5EA0"/>
    <w:rsid w:val="004C5FB4"/>
    <w:rsid w:val="004C6221"/>
    <w:rsid w:val="004C6B2A"/>
    <w:rsid w:val="004C7249"/>
    <w:rsid w:val="004C7720"/>
    <w:rsid w:val="004C77A4"/>
    <w:rsid w:val="004C7C0A"/>
    <w:rsid w:val="004D0097"/>
    <w:rsid w:val="004D0441"/>
    <w:rsid w:val="004D0918"/>
    <w:rsid w:val="004D1675"/>
    <w:rsid w:val="004D1740"/>
    <w:rsid w:val="004D175C"/>
    <w:rsid w:val="004D1926"/>
    <w:rsid w:val="004D1E36"/>
    <w:rsid w:val="004D2435"/>
    <w:rsid w:val="004D2541"/>
    <w:rsid w:val="004D256B"/>
    <w:rsid w:val="004D2C72"/>
    <w:rsid w:val="004D3220"/>
    <w:rsid w:val="004D3361"/>
    <w:rsid w:val="004D3E46"/>
    <w:rsid w:val="004D4602"/>
    <w:rsid w:val="004D4880"/>
    <w:rsid w:val="004D4AAE"/>
    <w:rsid w:val="004D4FCA"/>
    <w:rsid w:val="004D517B"/>
    <w:rsid w:val="004D5DBD"/>
    <w:rsid w:val="004D5F01"/>
    <w:rsid w:val="004D6544"/>
    <w:rsid w:val="004D6D55"/>
    <w:rsid w:val="004D6F6F"/>
    <w:rsid w:val="004D72EF"/>
    <w:rsid w:val="004E030F"/>
    <w:rsid w:val="004E123E"/>
    <w:rsid w:val="004E133B"/>
    <w:rsid w:val="004E1719"/>
    <w:rsid w:val="004E185B"/>
    <w:rsid w:val="004E1F29"/>
    <w:rsid w:val="004E24C6"/>
    <w:rsid w:val="004E2783"/>
    <w:rsid w:val="004E2F09"/>
    <w:rsid w:val="004E38BC"/>
    <w:rsid w:val="004E3B71"/>
    <w:rsid w:val="004E4122"/>
    <w:rsid w:val="004E4728"/>
    <w:rsid w:val="004E4C2B"/>
    <w:rsid w:val="004E4E1C"/>
    <w:rsid w:val="004E57ED"/>
    <w:rsid w:val="004E595E"/>
    <w:rsid w:val="004E5B22"/>
    <w:rsid w:val="004E5F12"/>
    <w:rsid w:val="004E62D2"/>
    <w:rsid w:val="004E660C"/>
    <w:rsid w:val="004E6914"/>
    <w:rsid w:val="004E76AB"/>
    <w:rsid w:val="004E794C"/>
    <w:rsid w:val="004F09E4"/>
    <w:rsid w:val="004F158F"/>
    <w:rsid w:val="004F1600"/>
    <w:rsid w:val="004F1918"/>
    <w:rsid w:val="004F1AFD"/>
    <w:rsid w:val="004F26F2"/>
    <w:rsid w:val="004F26FC"/>
    <w:rsid w:val="004F2A06"/>
    <w:rsid w:val="004F2D07"/>
    <w:rsid w:val="004F3432"/>
    <w:rsid w:val="004F39A5"/>
    <w:rsid w:val="004F39BD"/>
    <w:rsid w:val="004F3F59"/>
    <w:rsid w:val="004F41F8"/>
    <w:rsid w:val="004F4B99"/>
    <w:rsid w:val="004F4ECD"/>
    <w:rsid w:val="004F512A"/>
    <w:rsid w:val="004F560B"/>
    <w:rsid w:val="004F6721"/>
    <w:rsid w:val="004F6F04"/>
    <w:rsid w:val="004F6F25"/>
    <w:rsid w:val="004F774A"/>
    <w:rsid w:val="00500825"/>
    <w:rsid w:val="00500DC4"/>
    <w:rsid w:val="00501B23"/>
    <w:rsid w:val="005021C0"/>
    <w:rsid w:val="0050265C"/>
    <w:rsid w:val="00502C60"/>
    <w:rsid w:val="0050370F"/>
    <w:rsid w:val="0050424B"/>
    <w:rsid w:val="00504300"/>
    <w:rsid w:val="00504353"/>
    <w:rsid w:val="005045E8"/>
    <w:rsid w:val="00504605"/>
    <w:rsid w:val="005051BE"/>
    <w:rsid w:val="00505530"/>
    <w:rsid w:val="0050661A"/>
    <w:rsid w:val="005067DD"/>
    <w:rsid w:val="00506A62"/>
    <w:rsid w:val="00506BE2"/>
    <w:rsid w:val="005078D7"/>
    <w:rsid w:val="00511517"/>
    <w:rsid w:val="0051153E"/>
    <w:rsid w:val="005121F0"/>
    <w:rsid w:val="0051244D"/>
    <w:rsid w:val="00512558"/>
    <w:rsid w:val="00512841"/>
    <w:rsid w:val="00512D32"/>
    <w:rsid w:val="00513028"/>
    <w:rsid w:val="00513238"/>
    <w:rsid w:val="005132A2"/>
    <w:rsid w:val="005132E3"/>
    <w:rsid w:val="00513355"/>
    <w:rsid w:val="00513862"/>
    <w:rsid w:val="00514522"/>
    <w:rsid w:val="00514BF5"/>
    <w:rsid w:val="00515153"/>
    <w:rsid w:val="0051559D"/>
    <w:rsid w:val="00515E31"/>
    <w:rsid w:val="00515F43"/>
    <w:rsid w:val="00516566"/>
    <w:rsid w:val="005165DF"/>
    <w:rsid w:val="00516E54"/>
    <w:rsid w:val="00516F7A"/>
    <w:rsid w:val="00516F9D"/>
    <w:rsid w:val="00517C68"/>
    <w:rsid w:val="00517F5D"/>
    <w:rsid w:val="0052021B"/>
    <w:rsid w:val="005203B7"/>
    <w:rsid w:val="00520600"/>
    <w:rsid w:val="00520E12"/>
    <w:rsid w:val="005212F5"/>
    <w:rsid w:val="00521C47"/>
    <w:rsid w:val="005220B2"/>
    <w:rsid w:val="00522178"/>
    <w:rsid w:val="00522366"/>
    <w:rsid w:val="0052310D"/>
    <w:rsid w:val="0052332D"/>
    <w:rsid w:val="0052338B"/>
    <w:rsid w:val="005237F9"/>
    <w:rsid w:val="00523A8A"/>
    <w:rsid w:val="005248D4"/>
    <w:rsid w:val="00525065"/>
    <w:rsid w:val="00525392"/>
    <w:rsid w:val="0052584C"/>
    <w:rsid w:val="00525CAA"/>
    <w:rsid w:val="00525E36"/>
    <w:rsid w:val="0052692E"/>
    <w:rsid w:val="005273CB"/>
    <w:rsid w:val="00527E65"/>
    <w:rsid w:val="005300A6"/>
    <w:rsid w:val="0053020D"/>
    <w:rsid w:val="00530464"/>
    <w:rsid w:val="00530497"/>
    <w:rsid w:val="00530628"/>
    <w:rsid w:val="00530E07"/>
    <w:rsid w:val="005311D6"/>
    <w:rsid w:val="005323D1"/>
    <w:rsid w:val="005323D3"/>
    <w:rsid w:val="005327D5"/>
    <w:rsid w:val="005328DB"/>
    <w:rsid w:val="00533081"/>
    <w:rsid w:val="005330A3"/>
    <w:rsid w:val="00533117"/>
    <w:rsid w:val="0053312D"/>
    <w:rsid w:val="00533237"/>
    <w:rsid w:val="0053341C"/>
    <w:rsid w:val="00533A0A"/>
    <w:rsid w:val="005343F2"/>
    <w:rsid w:val="00535EDB"/>
    <w:rsid w:val="00536E0C"/>
    <w:rsid w:val="00537052"/>
    <w:rsid w:val="00537BC2"/>
    <w:rsid w:val="00540730"/>
    <w:rsid w:val="00540A7B"/>
    <w:rsid w:val="00541541"/>
    <w:rsid w:val="005415DA"/>
    <w:rsid w:val="00541CC7"/>
    <w:rsid w:val="0054208B"/>
    <w:rsid w:val="005421CA"/>
    <w:rsid w:val="0054241B"/>
    <w:rsid w:val="005425C0"/>
    <w:rsid w:val="00542FCF"/>
    <w:rsid w:val="00543050"/>
    <w:rsid w:val="005434C5"/>
    <w:rsid w:val="00543A2C"/>
    <w:rsid w:val="005440C8"/>
    <w:rsid w:val="00544751"/>
    <w:rsid w:val="00544826"/>
    <w:rsid w:val="00544973"/>
    <w:rsid w:val="00544C79"/>
    <w:rsid w:val="00545220"/>
    <w:rsid w:val="0054545A"/>
    <w:rsid w:val="005461FA"/>
    <w:rsid w:val="00546633"/>
    <w:rsid w:val="005467A8"/>
    <w:rsid w:val="00546AAF"/>
    <w:rsid w:val="00546C60"/>
    <w:rsid w:val="00546F45"/>
    <w:rsid w:val="00546F61"/>
    <w:rsid w:val="00547387"/>
    <w:rsid w:val="00547678"/>
    <w:rsid w:val="005479D1"/>
    <w:rsid w:val="00550002"/>
    <w:rsid w:val="00550117"/>
    <w:rsid w:val="005501EB"/>
    <w:rsid w:val="005505FA"/>
    <w:rsid w:val="005507DF"/>
    <w:rsid w:val="00550819"/>
    <w:rsid w:val="00550ADA"/>
    <w:rsid w:val="00551026"/>
    <w:rsid w:val="00552316"/>
    <w:rsid w:val="0055274B"/>
    <w:rsid w:val="00552AB1"/>
    <w:rsid w:val="00552BAE"/>
    <w:rsid w:val="005532ED"/>
    <w:rsid w:val="00553824"/>
    <w:rsid w:val="00553C66"/>
    <w:rsid w:val="00553E60"/>
    <w:rsid w:val="0055433C"/>
    <w:rsid w:val="0055468A"/>
    <w:rsid w:val="00554929"/>
    <w:rsid w:val="00554BA1"/>
    <w:rsid w:val="00556799"/>
    <w:rsid w:val="0055689E"/>
    <w:rsid w:val="00556B70"/>
    <w:rsid w:val="00556D4A"/>
    <w:rsid w:val="00557011"/>
    <w:rsid w:val="00557279"/>
    <w:rsid w:val="00557579"/>
    <w:rsid w:val="00557B02"/>
    <w:rsid w:val="00560478"/>
    <w:rsid w:val="005604F5"/>
    <w:rsid w:val="00560752"/>
    <w:rsid w:val="005610DA"/>
    <w:rsid w:val="00561251"/>
    <w:rsid w:val="00561781"/>
    <w:rsid w:val="00561AD2"/>
    <w:rsid w:val="00562518"/>
    <w:rsid w:val="005629B5"/>
    <w:rsid w:val="00563774"/>
    <w:rsid w:val="005645DD"/>
    <w:rsid w:val="00564BC9"/>
    <w:rsid w:val="00564CAE"/>
    <w:rsid w:val="00565547"/>
    <w:rsid w:val="0056568D"/>
    <w:rsid w:val="00565858"/>
    <w:rsid w:val="00565957"/>
    <w:rsid w:val="005660FF"/>
    <w:rsid w:val="0056637A"/>
    <w:rsid w:val="00566A7F"/>
    <w:rsid w:val="00566D6C"/>
    <w:rsid w:val="0056706D"/>
    <w:rsid w:val="00567834"/>
    <w:rsid w:val="00570239"/>
    <w:rsid w:val="0057082A"/>
    <w:rsid w:val="0057085A"/>
    <w:rsid w:val="00570AC8"/>
    <w:rsid w:val="005711F7"/>
    <w:rsid w:val="0057125C"/>
    <w:rsid w:val="00571F34"/>
    <w:rsid w:val="005726E9"/>
    <w:rsid w:val="005727E2"/>
    <w:rsid w:val="00572C7C"/>
    <w:rsid w:val="00572D5D"/>
    <w:rsid w:val="005731ED"/>
    <w:rsid w:val="0057371F"/>
    <w:rsid w:val="00573B91"/>
    <w:rsid w:val="00574BD0"/>
    <w:rsid w:val="00574FAF"/>
    <w:rsid w:val="00575928"/>
    <w:rsid w:val="00575EB8"/>
    <w:rsid w:val="00575EE8"/>
    <w:rsid w:val="00576320"/>
    <w:rsid w:val="0057644C"/>
    <w:rsid w:val="00576499"/>
    <w:rsid w:val="00576A18"/>
    <w:rsid w:val="00577330"/>
    <w:rsid w:val="00577591"/>
    <w:rsid w:val="005776F6"/>
    <w:rsid w:val="005801CE"/>
    <w:rsid w:val="0058022A"/>
    <w:rsid w:val="00580259"/>
    <w:rsid w:val="00581776"/>
    <w:rsid w:val="00581FAA"/>
    <w:rsid w:val="00582474"/>
    <w:rsid w:val="00582759"/>
    <w:rsid w:val="00582EF0"/>
    <w:rsid w:val="00583491"/>
    <w:rsid w:val="005839EC"/>
    <w:rsid w:val="005844F2"/>
    <w:rsid w:val="00584C04"/>
    <w:rsid w:val="00584E3B"/>
    <w:rsid w:val="00585D99"/>
    <w:rsid w:val="00585DBC"/>
    <w:rsid w:val="0058621B"/>
    <w:rsid w:val="005862D7"/>
    <w:rsid w:val="00586770"/>
    <w:rsid w:val="00586E03"/>
    <w:rsid w:val="005871C7"/>
    <w:rsid w:val="00587226"/>
    <w:rsid w:val="005876E8"/>
    <w:rsid w:val="005877C6"/>
    <w:rsid w:val="005907E5"/>
    <w:rsid w:val="0059162F"/>
    <w:rsid w:val="00591C6E"/>
    <w:rsid w:val="00591F2B"/>
    <w:rsid w:val="00592395"/>
    <w:rsid w:val="00592ABA"/>
    <w:rsid w:val="00593DE0"/>
    <w:rsid w:val="0059487E"/>
    <w:rsid w:val="00594C12"/>
    <w:rsid w:val="00595A6B"/>
    <w:rsid w:val="0059612D"/>
    <w:rsid w:val="0059652F"/>
    <w:rsid w:val="005969B1"/>
    <w:rsid w:val="00596B3D"/>
    <w:rsid w:val="005978A2"/>
    <w:rsid w:val="005979A0"/>
    <w:rsid w:val="00597EF4"/>
    <w:rsid w:val="005A00F8"/>
    <w:rsid w:val="005A022C"/>
    <w:rsid w:val="005A023A"/>
    <w:rsid w:val="005A03FB"/>
    <w:rsid w:val="005A06CB"/>
    <w:rsid w:val="005A09EF"/>
    <w:rsid w:val="005A0A10"/>
    <w:rsid w:val="005A0AB2"/>
    <w:rsid w:val="005A0C0D"/>
    <w:rsid w:val="005A0EE5"/>
    <w:rsid w:val="005A1259"/>
    <w:rsid w:val="005A13B0"/>
    <w:rsid w:val="005A1B9B"/>
    <w:rsid w:val="005A24DF"/>
    <w:rsid w:val="005A2C5D"/>
    <w:rsid w:val="005A3961"/>
    <w:rsid w:val="005A39AD"/>
    <w:rsid w:val="005A3EDC"/>
    <w:rsid w:val="005A4AB1"/>
    <w:rsid w:val="005A4E18"/>
    <w:rsid w:val="005A63A4"/>
    <w:rsid w:val="005A686C"/>
    <w:rsid w:val="005A6AE9"/>
    <w:rsid w:val="005A752C"/>
    <w:rsid w:val="005B0501"/>
    <w:rsid w:val="005B0B52"/>
    <w:rsid w:val="005B0BF3"/>
    <w:rsid w:val="005B10F5"/>
    <w:rsid w:val="005B11A9"/>
    <w:rsid w:val="005B146F"/>
    <w:rsid w:val="005B1871"/>
    <w:rsid w:val="005B198E"/>
    <w:rsid w:val="005B1AA9"/>
    <w:rsid w:val="005B1DE7"/>
    <w:rsid w:val="005B1E81"/>
    <w:rsid w:val="005B2062"/>
    <w:rsid w:val="005B28DE"/>
    <w:rsid w:val="005B2A39"/>
    <w:rsid w:val="005B2E4C"/>
    <w:rsid w:val="005B30D2"/>
    <w:rsid w:val="005B30F4"/>
    <w:rsid w:val="005B3370"/>
    <w:rsid w:val="005B3F1C"/>
    <w:rsid w:val="005B435A"/>
    <w:rsid w:val="005B43C9"/>
    <w:rsid w:val="005B4420"/>
    <w:rsid w:val="005B47A9"/>
    <w:rsid w:val="005B4836"/>
    <w:rsid w:val="005B4C46"/>
    <w:rsid w:val="005B4DBB"/>
    <w:rsid w:val="005B4E0C"/>
    <w:rsid w:val="005B5146"/>
    <w:rsid w:val="005B6403"/>
    <w:rsid w:val="005B70B0"/>
    <w:rsid w:val="005B7D1E"/>
    <w:rsid w:val="005B7E9A"/>
    <w:rsid w:val="005C01BB"/>
    <w:rsid w:val="005C02E3"/>
    <w:rsid w:val="005C0592"/>
    <w:rsid w:val="005C099A"/>
    <w:rsid w:val="005C18B2"/>
    <w:rsid w:val="005C1A07"/>
    <w:rsid w:val="005C1F1C"/>
    <w:rsid w:val="005C290C"/>
    <w:rsid w:val="005C2D89"/>
    <w:rsid w:val="005C2F58"/>
    <w:rsid w:val="005C37CF"/>
    <w:rsid w:val="005C38F1"/>
    <w:rsid w:val="005C39D6"/>
    <w:rsid w:val="005C3E69"/>
    <w:rsid w:val="005C4122"/>
    <w:rsid w:val="005C4E6E"/>
    <w:rsid w:val="005C54A5"/>
    <w:rsid w:val="005C56F5"/>
    <w:rsid w:val="005C5A76"/>
    <w:rsid w:val="005C5DCD"/>
    <w:rsid w:val="005C5F81"/>
    <w:rsid w:val="005C607A"/>
    <w:rsid w:val="005C6460"/>
    <w:rsid w:val="005C7BA1"/>
    <w:rsid w:val="005C7D43"/>
    <w:rsid w:val="005D018D"/>
    <w:rsid w:val="005D0479"/>
    <w:rsid w:val="005D084C"/>
    <w:rsid w:val="005D095A"/>
    <w:rsid w:val="005D0BB0"/>
    <w:rsid w:val="005D1233"/>
    <w:rsid w:val="005D12A5"/>
    <w:rsid w:val="005D1A02"/>
    <w:rsid w:val="005D1A3F"/>
    <w:rsid w:val="005D1D93"/>
    <w:rsid w:val="005D1DBE"/>
    <w:rsid w:val="005D2771"/>
    <w:rsid w:val="005D2CB6"/>
    <w:rsid w:val="005D3489"/>
    <w:rsid w:val="005D3659"/>
    <w:rsid w:val="005D3E8D"/>
    <w:rsid w:val="005D4F93"/>
    <w:rsid w:val="005D536B"/>
    <w:rsid w:val="005D580E"/>
    <w:rsid w:val="005D5AF1"/>
    <w:rsid w:val="005D5F27"/>
    <w:rsid w:val="005D737A"/>
    <w:rsid w:val="005D799A"/>
    <w:rsid w:val="005D7C75"/>
    <w:rsid w:val="005D7E4E"/>
    <w:rsid w:val="005E0033"/>
    <w:rsid w:val="005E09B7"/>
    <w:rsid w:val="005E0DAF"/>
    <w:rsid w:val="005E1111"/>
    <w:rsid w:val="005E119C"/>
    <w:rsid w:val="005E18F8"/>
    <w:rsid w:val="005E2D0E"/>
    <w:rsid w:val="005E2F2C"/>
    <w:rsid w:val="005E334C"/>
    <w:rsid w:val="005E372C"/>
    <w:rsid w:val="005E3D28"/>
    <w:rsid w:val="005E5651"/>
    <w:rsid w:val="005E5E75"/>
    <w:rsid w:val="005E6030"/>
    <w:rsid w:val="005E63DB"/>
    <w:rsid w:val="005E64C8"/>
    <w:rsid w:val="005E6B31"/>
    <w:rsid w:val="005E7C62"/>
    <w:rsid w:val="005E7DC4"/>
    <w:rsid w:val="005F01EF"/>
    <w:rsid w:val="005F0947"/>
    <w:rsid w:val="005F18B7"/>
    <w:rsid w:val="005F2A1B"/>
    <w:rsid w:val="005F31FE"/>
    <w:rsid w:val="005F3AD9"/>
    <w:rsid w:val="005F3EB6"/>
    <w:rsid w:val="005F4182"/>
    <w:rsid w:val="005F4BBA"/>
    <w:rsid w:val="005F4BC9"/>
    <w:rsid w:val="005F4F32"/>
    <w:rsid w:val="005F51E5"/>
    <w:rsid w:val="005F524A"/>
    <w:rsid w:val="005F55A5"/>
    <w:rsid w:val="005F5C20"/>
    <w:rsid w:val="005F614C"/>
    <w:rsid w:val="005F62E5"/>
    <w:rsid w:val="005F67F2"/>
    <w:rsid w:val="005F698D"/>
    <w:rsid w:val="005F7160"/>
    <w:rsid w:val="005F7536"/>
    <w:rsid w:val="005F77C1"/>
    <w:rsid w:val="005F7C1D"/>
    <w:rsid w:val="005F7E43"/>
    <w:rsid w:val="00600048"/>
    <w:rsid w:val="00600122"/>
    <w:rsid w:val="00600F59"/>
    <w:rsid w:val="0060111C"/>
    <w:rsid w:val="00601431"/>
    <w:rsid w:val="0060168F"/>
    <w:rsid w:val="00601A8F"/>
    <w:rsid w:val="00601BDA"/>
    <w:rsid w:val="00601E83"/>
    <w:rsid w:val="00602D29"/>
    <w:rsid w:val="006032E9"/>
    <w:rsid w:val="00603395"/>
    <w:rsid w:val="0060350B"/>
    <w:rsid w:val="0060358C"/>
    <w:rsid w:val="006037A4"/>
    <w:rsid w:val="006039DE"/>
    <w:rsid w:val="00603A83"/>
    <w:rsid w:val="00603C73"/>
    <w:rsid w:val="00604028"/>
    <w:rsid w:val="006040B4"/>
    <w:rsid w:val="0060431D"/>
    <w:rsid w:val="00604BD1"/>
    <w:rsid w:val="00604DF2"/>
    <w:rsid w:val="00605631"/>
    <w:rsid w:val="0060571F"/>
    <w:rsid w:val="00605F65"/>
    <w:rsid w:val="00606885"/>
    <w:rsid w:val="006069D1"/>
    <w:rsid w:val="00606B36"/>
    <w:rsid w:val="00606CCA"/>
    <w:rsid w:val="006073C3"/>
    <w:rsid w:val="00607444"/>
    <w:rsid w:val="0060793B"/>
    <w:rsid w:val="00607A71"/>
    <w:rsid w:val="00610030"/>
    <w:rsid w:val="00610555"/>
    <w:rsid w:val="00610666"/>
    <w:rsid w:val="0061155B"/>
    <w:rsid w:val="00611646"/>
    <w:rsid w:val="00611707"/>
    <w:rsid w:val="006117C1"/>
    <w:rsid w:val="00611A3F"/>
    <w:rsid w:val="00612146"/>
    <w:rsid w:val="006124CD"/>
    <w:rsid w:val="00613134"/>
    <w:rsid w:val="006133D1"/>
    <w:rsid w:val="00613479"/>
    <w:rsid w:val="006139B0"/>
    <w:rsid w:val="00614263"/>
    <w:rsid w:val="00614E23"/>
    <w:rsid w:val="006151C6"/>
    <w:rsid w:val="0061543D"/>
    <w:rsid w:val="00615E29"/>
    <w:rsid w:val="00616C29"/>
    <w:rsid w:val="00616C49"/>
    <w:rsid w:val="006175A5"/>
    <w:rsid w:val="006201B9"/>
    <w:rsid w:val="00620444"/>
    <w:rsid w:val="00620D3F"/>
    <w:rsid w:val="00621310"/>
    <w:rsid w:val="006221F5"/>
    <w:rsid w:val="006226EE"/>
    <w:rsid w:val="00622812"/>
    <w:rsid w:val="00624691"/>
    <w:rsid w:val="006252B0"/>
    <w:rsid w:val="0062567D"/>
    <w:rsid w:val="00625DCC"/>
    <w:rsid w:val="00625F4A"/>
    <w:rsid w:val="00626114"/>
    <w:rsid w:val="006264F7"/>
    <w:rsid w:val="00626699"/>
    <w:rsid w:val="00626DA8"/>
    <w:rsid w:val="00627BEC"/>
    <w:rsid w:val="00627EE6"/>
    <w:rsid w:val="00630767"/>
    <w:rsid w:val="00631749"/>
    <w:rsid w:val="006319F8"/>
    <w:rsid w:val="00631A42"/>
    <w:rsid w:val="00631BF4"/>
    <w:rsid w:val="00632973"/>
    <w:rsid w:val="00632AF1"/>
    <w:rsid w:val="00632CA7"/>
    <w:rsid w:val="00632D8E"/>
    <w:rsid w:val="00632E0B"/>
    <w:rsid w:val="00632E93"/>
    <w:rsid w:val="00633A97"/>
    <w:rsid w:val="00633CFB"/>
    <w:rsid w:val="00634353"/>
    <w:rsid w:val="00634684"/>
    <w:rsid w:val="006352FF"/>
    <w:rsid w:val="0063531A"/>
    <w:rsid w:val="006358FB"/>
    <w:rsid w:val="00635DA7"/>
    <w:rsid w:val="00635DC8"/>
    <w:rsid w:val="00635F9E"/>
    <w:rsid w:val="00635FE0"/>
    <w:rsid w:val="006364A8"/>
    <w:rsid w:val="00636976"/>
    <w:rsid w:val="00636BF6"/>
    <w:rsid w:val="00636D46"/>
    <w:rsid w:val="00636E22"/>
    <w:rsid w:val="006373E0"/>
    <w:rsid w:val="006374AD"/>
    <w:rsid w:val="00637547"/>
    <w:rsid w:val="00640534"/>
    <w:rsid w:val="00640B61"/>
    <w:rsid w:val="00640C71"/>
    <w:rsid w:val="0064126D"/>
    <w:rsid w:val="0064133E"/>
    <w:rsid w:val="00641FDE"/>
    <w:rsid w:val="006433FB"/>
    <w:rsid w:val="006435C8"/>
    <w:rsid w:val="00643D66"/>
    <w:rsid w:val="00643E62"/>
    <w:rsid w:val="00643E86"/>
    <w:rsid w:val="00643F92"/>
    <w:rsid w:val="00644F6C"/>
    <w:rsid w:val="00644FBD"/>
    <w:rsid w:val="0064529D"/>
    <w:rsid w:val="00645778"/>
    <w:rsid w:val="00645B2B"/>
    <w:rsid w:val="00645E0B"/>
    <w:rsid w:val="00646143"/>
    <w:rsid w:val="00646172"/>
    <w:rsid w:val="00646772"/>
    <w:rsid w:val="006469B5"/>
    <w:rsid w:val="00646CC4"/>
    <w:rsid w:val="0064742F"/>
    <w:rsid w:val="006475FE"/>
    <w:rsid w:val="006506DF"/>
    <w:rsid w:val="0065090D"/>
    <w:rsid w:val="00651322"/>
    <w:rsid w:val="00651640"/>
    <w:rsid w:val="006517AA"/>
    <w:rsid w:val="00651AF7"/>
    <w:rsid w:val="00651B33"/>
    <w:rsid w:val="00651EB2"/>
    <w:rsid w:val="00651EE8"/>
    <w:rsid w:val="00652E2B"/>
    <w:rsid w:val="006532E6"/>
    <w:rsid w:val="00653584"/>
    <w:rsid w:val="0065478C"/>
    <w:rsid w:val="00654C14"/>
    <w:rsid w:val="00654CFD"/>
    <w:rsid w:val="00655BF8"/>
    <w:rsid w:val="00655CD5"/>
    <w:rsid w:val="00655FBF"/>
    <w:rsid w:val="0065611A"/>
    <w:rsid w:val="00656C31"/>
    <w:rsid w:val="00656C80"/>
    <w:rsid w:val="00657E3D"/>
    <w:rsid w:val="00660009"/>
    <w:rsid w:val="006601C1"/>
    <w:rsid w:val="00660F9D"/>
    <w:rsid w:val="00660FA4"/>
    <w:rsid w:val="006620B7"/>
    <w:rsid w:val="006627BC"/>
    <w:rsid w:val="00662B3F"/>
    <w:rsid w:val="00662CFA"/>
    <w:rsid w:val="00662DE0"/>
    <w:rsid w:val="0066353B"/>
    <w:rsid w:val="006637C4"/>
    <w:rsid w:val="00663CCB"/>
    <w:rsid w:val="00663FE7"/>
    <w:rsid w:val="0066432D"/>
    <w:rsid w:val="0066477C"/>
    <w:rsid w:val="006650E4"/>
    <w:rsid w:val="006653DF"/>
    <w:rsid w:val="006656FF"/>
    <w:rsid w:val="00665B0F"/>
    <w:rsid w:val="00665DC7"/>
    <w:rsid w:val="006660A3"/>
    <w:rsid w:val="006661D6"/>
    <w:rsid w:val="00666557"/>
    <w:rsid w:val="00666727"/>
    <w:rsid w:val="00666754"/>
    <w:rsid w:val="00666E2E"/>
    <w:rsid w:val="00666FDF"/>
    <w:rsid w:val="00667469"/>
    <w:rsid w:val="00667538"/>
    <w:rsid w:val="006705D7"/>
    <w:rsid w:val="00670AA3"/>
    <w:rsid w:val="00671188"/>
    <w:rsid w:val="006716AF"/>
    <w:rsid w:val="00671DCA"/>
    <w:rsid w:val="006732EF"/>
    <w:rsid w:val="00673665"/>
    <w:rsid w:val="00673733"/>
    <w:rsid w:val="0067425D"/>
    <w:rsid w:val="006745A0"/>
    <w:rsid w:val="00674900"/>
    <w:rsid w:val="006754CB"/>
    <w:rsid w:val="00675A8C"/>
    <w:rsid w:val="00675E71"/>
    <w:rsid w:val="00676138"/>
    <w:rsid w:val="00677110"/>
    <w:rsid w:val="0067753F"/>
    <w:rsid w:val="00677799"/>
    <w:rsid w:val="00677925"/>
    <w:rsid w:val="00677962"/>
    <w:rsid w:val="00677C5A"/>
    <w:rsid w:val="006800CD"/>
    <w:rsid w:val="00680B18"/>
    <w:rsid w:val="00680EC5"/>
    <w:rsid w:val="00680F69"/>
    <w:rsid w:val="0068148E"/>
    <w:rsid w:val="00681639"/>
    <w:rsid w:val="00681979"/>
    <w:rsid w:val="006820B9"/>
    <w:rsid w:val="006827C6"/>
    <w:rsid w:val="00683931"/>
    <w:rsid w:val="00683946"/>
    <w:rsid w:val="00683A60"/>
    <w:rsid w:val="0068434D"/>
    <w:rsid w:val="0068459C"/>
    <w:rsid w:val="00685373"/>
    <w:rsid w:val="00685425"/>
    <w:rsid w:val="00685A03"/>
    <w:rsid w:val="0068698C"/>
    <w:rsid w:val="00686A51"/>
    <w:rsid w:val="00686B8A"/>
    <w:rsid w:val="00686CD2"/>
    <w:rsid w:val="00686F92"/>
    <w:rsid w:val="0068713A"/>
    <w:rsid w:val="006871C4"/>
    <w:rsid w:val="0068722B"/>
    <w:rsid w:val="00687404"/>
    <w:rsid w:val="006875A7"/>
    <w:rsid w:val="00687684"/>
    <w:rsid w:val="0068778D"/>
    <w:rsid w:val="00687872"/>
    <w:rsid w:val="00687D69"/>
    <w:rsid w:val="006900F5"/>
    <w:rsid w:val="006900FD"/>
    <w:rsid w:val="006901D4"/>
    <w:rsid w:val="00690382"/>
    <w:rsid w:val="00690566"/>
    <w:rsid w:val="00690F9D"/>
    <w:rsid w:val="0069167A"/>
    <w:rsid w:val="006917B8"/>
    <w:rsid w:val="00691A7F"/>
    <w:rsid w:val="00691F6A"/>
    <w:rsid w:val="00692AAD"/>
    <w:rsid w:val="00692B87"/>
    <w:rsid w:val="00692E4D"/>
    <w:rsid w:val="00693282"/>
    <w:rsid w:val="00693BA3"/>
    <w:rsid w:val="00694144"/>
    <w:rsid w:val="00694154"/>
    <w:rsid w:val="006942AD"/>
    <w:rsid w:val="006949EA"/>
    <w:rsid w:val="00694B60"/>
    <w:rsid w:val="00695369"/>
    <w:rsid w:val="00695425"/>
    <w:rsid w:val="00695C6B"/>
    <w:rsid w:val="0069629D"/>
    <w:rsid w:val="00696671"/>
    <w:rsid w:val="006966D5"/>
    <w:rsid w:val="00696A26"/>
    <w:rsid w:val="00696BE3"/>
    <w:rsid w:val="00696C5E"/>
    <w:rsid w:val="00696EFF"/>
    <w:rsid w:val="00696F4C"/>
    <w:rsid w:val="00697DBF"/>
    <w:rsid w:val="00697EEB"/>
    <w:rsid w:val="00697FC2"/>
    <w:rsid w:val="006A0238"/>
    <w:rsid w:val="006A0331"/>
    <w:rsid w:val="006A034E"/>
    <w:rsid w:val="006A05C5"/>
    <w:rsid w:val="006A0C1A"/>
    <w:rsid w:val="006A0D4C"/>
    <w:rsid w:val="006A172A"/>
    <w:rsid w:val="006A19E4"/>
    <w:rsid w:val="006A1AB0"/>
    <w:rsid w:val="006A1CA7"/>
    <w:rsid w:val="006A1ED4"/>
    <w:rsid w:val="006A37A1"/>
    <w:rsid w:val="006A3B08"/>
    <w:rsid w:val="006A3C25"/>
    <w:rsid w:val="006A4096"/>
    <w:rsid w:val="006A4107"/>
    <w:rsid w:val="006A4200"/>
    <w:rsid w:val="006A43F1"/>
    <w:rsid w:val="006A4B7D"/>
    <w:rsid w:val="006A4D14"/>
    <w:rsid w:val="006A4F52"/>
    <w:rsid w:val="006A53D3"/>
    <w:rsid w:val="006A5829"/>
    <w:rsid w:val="006A592F"/>
    <w:rsid w:val="006A5CBA"/>
    <w:rsid w:val="006A5E61"/>
    <w:rsid w:val="006A6C10"/>
    <w:rsid w:val="006A7BAF"/>
    <w:rsid w:val="006A7CF5"/>
    <w:rsid w:val="006B0012"/>
    <w:rsid w:val="006B0553"/>
    <w:rsid w:val="006B0605"/>
    <w:rsid w:val="006B080A"/>
    <w:rsid w:val="006B17F2"/>
    <w:rsid w:val="006B18B6"/>
    <w:rsid w:val="006B209F"/>
    <w:rsid w:val="006B2117"/>
    <w:rsid w:val="006B22C0"/>
    <w:rsid w:val="006B2383"/>
    <w:rsid w:val="006B24A7"/>
    <w:rsid w:val="006B3675"/>
    <w:rsid w:val="006B3B06"/>
    <w:rsid w:val="006B400E"/>
    <w:rsid w:val="006B4535"/>
    <w:rsid w:val="006B45E9"/>
    <w:rsid w:val="006B48AB"/>
    <w:rsid w:val="006B4B56"/>
    <w:rsid w:val="006B4D69"/>
    <w:rsid w:val="006B53F5"/>
    <w:rsid w:val="006B5465"/>
    <w:rsid w:val="006B5D4F"/>
    <w:rsid w:val="006B5EBB"/>
    <w:rsid w:val="006B6080"/>
    <w:rsid w:val="006B60A7"/>
    <w:rsid w:val="006B634E"/>
    <w:rsid w:val="006B65AF"/>
    <w:rsid w:val="006B6638"/>
    <w:rsid w:val="006B6B10"/>
    <w:rsid w:val="006C008E"/>
    <w:rsid w:val="006C0AE6"/>
    <w:rsid w:val="006C1428"/>
    <w:rsid w:val="006C1FC1"/>
    <w:rsid w:val="006C1FC6"/>
    <w:rsid w:val="006C2431"/>
    <w:rsid w:val="006C26D8"/>
    <w:rsid w:val="006C2719"/>
    <w:rsid w:val="006C3243"/>
    <w:rsid w:val="006C3258"/>
    <w:rsid w:val="006C3749"/>
    <w:rsid w:val="006C3756"/>
    <w:rsid w:val="006C37E9"/>
    <w:rsid w:val="006C381E"/>
    <w:rsid w:val="006C4E1E"/>
    <w:rsid w:val="006C556B"/>
    <w:rsid w:val="006C587C"/>
    <w:rsid w:val="006C58A5"/>
    <w:rsid w:val="006C58B0"/>
    <w:rsid w:val="006C5D6B"/>
    <w:rsid w:val="006C5F44"/>
    <w:rsid w:val="006C60D7"/>
    <w:rsid w:val="006C688D"/>
    <w:rsid w:val="006C68FC"/>
    <w:rsid w:val="006C6B6B"/>
    <w:rsid w:val="006C6CF7"/>
    <w:rsid w:val="006C76D2"/>
    <w:rsid w:val="006C77F6"/>
    <w:rsid w:val="006C7B11"/>
    <w:rsid w:val="006D04BE"/>
    <w:rsid w:val="006D05AD"/>
    <w:rsid w:val="006D1BFC"/>
    <w:rsid w:val="006D20B5"/>
    <w:rsid w:val="006D2F78"/>
    <w:rsid w:val="006D30BE"/>
    <w:rsid w:val="006D39B9"/>
    <w:rsid w:val="006D4D45"/>
    <w:rsid w:val="006D507F"/>
    <w:rsid w:val="006D5A29"/>
    <w:rsid w:val="006D65BE"/>
    <w:rsid w:val="006D6940"/>
    <w:rsid w:val="006D7CFF"/>
    <w:rsid w:val="006E02EB"/>
    <w:rsid w:val="006E075B"/>
    <w:rsid w:val="006E0F59"/>
    <w:rsid w:val="006E2562"/>
    <w:rsid w:val="006E2B64"/>
    <w:rsid w:val="006E2BD1"/>
    <w:rsid w:val="006E2D00"/>
    <w:rsid w:val="006E2F0D"/>
    <w:rsid w:val="006E2F96"/>
    <w:rsid w:val="006E32C4"/>
    <w:rsid w:val="006E3798"/>
    <w:rsid w:val="006E3E7A"/>
    <w:rsid w:val="006E439E"/>
    <w:rsid w:val="006E43D2"/>
    <w:rsid w:val="006E49DA"/>
    <w:rsid w:val="006E4C96"/>
    <w:rsid w:val="006E4EA0"/>
    <w:rsid w:val="006E507B"/>
    <w:rsid w:val="006E569B"/>
    <w:rsid w:val="006E617E"/>
    <w:rsid w:val="006E6898"/>
    <w:rsid w:val="006E6B07"/>
    <w:rsid w:val="006E6C75"/>
    <w:rsid w:val="006E6C88"/>
    <w:rsid w:val="006E71A1"/>
    <w:rsid w:val="006E720B"/>
    <w:rsid w:val="006E764E"/>
    <w:rsid w:val="006E7941"/>
    <w:rsid w:val="006E7B9C"/>
    <w:rsid w:val="006E7F20"/>
    <w:rsid w:val="006F0280"/>
    <w:rsid w:val="006F08C7"/>
    <w:rsid w:val="006F0B07"/>
    <w:rsid w:val="006F0C43"/>
    <w:rsid w:val="006F18DA"/>
    <w:rsid w:val="006F1DA4"/>
    <w:rsid w:val="006F1ECE"/>
    <w:rsid w:val="006F1F85"/>
    <w:rsid w:val="006F28BB"/>
    <w:rsid w:val="006F2E15"/>
    <w:rsid w:val="006F3157"/>
    <w:rsid w:val="006F3DA8"/>
    <w:rsid w:val="006F45DE"/>
    <w:rsid w:val="006F5389"/>
    <w:rsid w:val="006F548A"/>
    <w:rsid w:val="006F54C8"/>
    <w:rsid w:val="006F5519"/>
    <w:rsid w:val="006F55B6"/>
    <w:rsid w:val="006F56CF"/>
    <w:rsid w:val="006F57D8"/>
    <w:rsid w:val="006F5926"/>
    <w:rsid w:val="006F5971"/>
    <w:rsid w:val="006F5A0E"/>
    <w:rsid w:val="006F62E3"/>
    <w:rsid w:val="006F6ED2"/>
    <w:rsid w:val="006F7993"/>
    <w:rsid w:val="00700250"/>
    <w:rsid w:val="00700D7D"/>
    <w:rsid w:val="007017B9"/>
    <w:rsid w:val="00702A22"/>
    <w:rsid w:val="0070302F"/>
    <w:rsid w:val="00703206"/>
    <w:rsid w:val="0070389F"/>
    <w:rsid w:val="007039E6"/>
    <w:rsid w:val="00703E3D"/>
    <w:rsid w:val="0070407A"/>
    <w:rsid w:val="00704334"/>
    <w:rsid w:val="00704388"/>
    <w:rsid w:val="00704520"/>
    <w:rsid w:val="00704D9D"/>
    <w:rsid w:val="007057E9"/>
    <w:rsid w:val="00705CB1"/>
    <w:rsid w:val="00706554"/>
    <w:rsid w:val="00706C40"/>
    <w:rsid w:val="00706F18"/>
    <w:rsid w:val="0070721A"/>
    <w:rsid w:val="00707324"/>
    <w:rsid w:val="00707C4E"/>
    <w:rsid w:val="00710951"/>
    <w:rsid w:val="00710BFF"/>
    <w:rsid w:val="00710D59"/>
    <w:rsid w:val="00710F07"/>
    <w:rsid w:val="00711207"/>
    <w:rsid w:val="007112B4"/>
    <w:rsid w:val="007114EE"/>
    <w:rsid w:val="00711B35"/>
    <w:rsid w:val="00711C27"/>
    <w:rsid w:val="00711E87"/>
    <w:rsid w:val="00711ECC"/>
    <w:rsid w:val="00713BFF"/>
    <w:rsid w:val="007150DE"/>
    <w:rsid w:val="00715154"/>
    <w:rsid w:val="00715A21"/>
    <w:rsid w:val="007164DB"/>
    <w:rsid w:val="00716CCC"/>
    <w:rsid w:val="00716CE6"/>
    <w:rsid w:val="00717245"/>
    <w:rsid w:val="0072005C"/>
    <w:rsid w:val="00720286"/>
    <w:rsid w:val="00720A4D"/>
    <w:rsid w:val="00720BE1"/>
    <w:rsid w:val="00720D0A"/>
    <w:rsid w:val="00721610"/>
    <w:rsid w:val="0072173D"/>
    <w:rsid w:val="007217D1"/>
    <w:rsid w:val="00721C3E"/>
    <w:rsid w:val="007225D5"/>
    <w:rsid w:val="0072261B"/>
    <w:rsid w:val="0072279F"/>
    <w:rsid w:val="007229AD"/>
    <w:rsid w:val="00722B1D"/>
    <w:rsid w:val="00722DD2"/>
    <w:rsid w:val="007233E7"/>
    <w:rsid w:val="00723480"/>
    <w:rsid w:val="00723526"/>
    <w:rsid w:val="0072392F"/>
    <w:rsid w:val="00723A88"/>
    <w:rsid w:val="00723ED1"/>
    <w:rsid w:val="00724668"/>
    <w:rsid w:val="00724B7B"/>
    <w:rsid w:val="00725D8E"/>
    <w:rsid w:val="00725DC3"/>
    <w:rsid w:val="00725FF1"/>
    <w:rsid w:val="007261AE"/>
    <w:rsid w:val="007263B9"/>
    <w:rsid w:val="0072666C"/>
    <w:rsid w:val="007268D6"/>
    <w:rsid w:val="00726C4D"/>
    <w:rsid w:val="00726FAA"/>
    <w:rsid w:val="00727173"/>
    <w:rsid w:val="00727657"/>
    <w:rsid w:val="00727A47"/>
    <w:rsid w:val="00730414"/>
    <w:rsid w:val="00730784"/>
    <w:rsid w:val="00730818"/>
    <w:rsid w:val="007309FD"/>
    <w:rsid w:val="00730A67"/>
    <w:rsid w:val="00730ECB"/>
    <w:rsid w:val="00730F53"/>
    <w:rsid w:val="0073119F"/>
    <w:rsid w:val="0073136D"/>
    <w:rsid w:val="00732305"/>
    <w:rsid w:val="007325B5"/>
    <w:rsid w:val="0073288B"/>
    <w:rsid w:val="00732AC3"/>
    <w:rsid w:val="00733636"/>
    <w:rsid w:val="007337F5"/>
    <w:rsid w:val="0073388C"/>
    <w:rsid w:val="00733AF0"/>
    <w:rsid w:val="00733BCB"/>
    <w:rsid w:val="00733EF7"/>
    <w:rsid w:val="007341A7"/>
    <w:rsid w:val="00735691"/>
    <w:rsid w:val="00735C55"/>
    <w:rsid w:val="00735ED4"/>
    <w:rsid w:val="00735FFF"/>
    <w:rsid w:val="007369E7"/>
    <w:rsid w:val="00737146"/>
    <w:rsid w:val="007378CE"/>
    <w:rsid w:val="00737A32"/>
    <w:rsid w:val="00737B69"/>
    <w:rsid w:val="00737D6A"/>
    <w:rsid w:val="00737DA7"/>
    <w:rsid w:val="00737E0F"/>
    <w:rsid w:val="0074018C"/>
    <w:rsid w:val="00740A94"/>
    <w:rsid w:val="007411FC"/>
    <w:rsid w:val="00741441"/>
    <w:rsid w:val="00741ABE"/>
    <w:rsid w:val="00741DA4"/>
    <w:rsid w:val="0074213D"/>
    <w:rsid w:val="007421D5"/>
    <w:rsid w:val="007421F1"/>
    <w:rsid w:val="007425B0"/>
    <w:rsid w:val="007428B6"/>
    <w:rsid w:val="00742B6D"/>
    <w:rsid w:val="00743210"/>
    <w:rsid w:val="0074334D"/>
    <w:rsid w:val="007434BE"/>
    <w:rsid w:val="0074361C"/>
    <w:rsid w:val="00743C30"/>
    <w:rsid w:val="00744681"/>
    <w:rsid w:val="007446AB"/>
    <w:rsid w:val="0074485E"/>
    <w:rsid w:val="00744907"/>
    <w:rsid w:val="007449BB"/>
    <w:rsid w:val="00744D8F"/>
    <w:rsid w:val="00745038"/>
    <w:rsid w:val="00745B91"/>
    <w:rsid w:val="0074652F"/>
    <w:rsid w:val="00746B44"/>
    <w:rsid w:val="0074742D"/>
    <w:rsid w:val="0074768A"/>
    <w:rsid w:val="00747AB3"/>
    <w:rsid w:val="007503EF"/>
    <w:rsid w:val="00750734"/>
    <w:rsid w:val="00750811"/>
    <w:rsid w:val="007513C9"/>
    <w:rsid w:val="0075146D"/>
    <w:rsid w:val="007514A4"/>
    <w:rsid w:val="00751957"/>
    <w:rsid w:val="00751F84"/>
    <w:rsid w:val="00752A24"/>
    <w:rsid w:val="00752F4D"/>
    <w:rsid w:val="007531D0"/>
    <w:rsid w:val="007534A5"/>
    <w:rsid w:val="007536A2"/>
    <w:rsid w:val="00753799"/>
    <w:rsid w:val="007538D9"/>
    <w:rsid w:val="0075422A"/>
    <w:rsid w:val="007542E6"/>
    <w:rsid w:val="00754DF1"/>
    <w:rsid w:val="00754ED7"/>
    <w:rsid w:val="007550E4"/>
    <w:rsid w:val="00755106"/>
    <w:rsid w:val="0075526B"/>
    <w:rsid w:val="00755473"/>
    <w:rsid w:val="00755688"/>
    <w:rsid w:val="00755781"/>
    <w:rsid w:val="00755ADA"/>
    <w:rsid w:val="00755E25"/>
    <w:rsid w:val="00756186"/>
    <w:rsid w:val="00757D97"/>
    <w:rsid w:val="0076022C"/>
    <w:rsid w:val="0076051C"/>
    <w:rsid w:val="00760653"/>
    <w:rsid w:val="00761452"/>
    <w:rsid w:val="00761B41"/>
    <w:rsid w:val="00761CAC"/>
    <w:rsid w:val="00761CAE"/>
    <w:rsid w:val="00761F6F"/>
    <w:rsid w:val="00761FC8"/>
    <w:rsid w:val="0076215D"/>
    <w:rsid w:val="00762A5C"/>
    <w:rsid w:val="007630DD"/>
    <w:rsid w:val="00763933"/>
    <w:rsid w:val="00763D84"/>
    <w:rsid w:val="0076435E"/>
    <w:rsid w:val="00764C4C"/>
    <w:rsid w:val="00764D15"/>
    <w:rsid w:val="00765F84"/>
    <w:rsid w:val="0076661C"/>
    <w:rsid w:val="0076670A"/>
    <w:rsid w:val="0076692F"/>
    <w:rsid w:val="00767291"/>
    <w:rsid w:val="007672D7"/>
    <w:rsid w:val="00767319"/>
    <w:rsid w:val="007673F1"/>
    <w:rsid w:val="00767427"/>
    <w:rsid w:val="007677B7"/>
    <w:rsid w:val="00770418"/>
    <w:rsid w:val="007709A3"/>
    <w:rsid w:val="00770A23"/>
    <w:rsid w:val="00770A2C"/>
    <w:rsid w:val="007717A4"/>
    <w:rsid w:val="007725E6"/>
    <w:rsid w:val="00773C45"/>
    <w:rsid w:val="00774E3C"/>
    <w:rsid w:val="00774FD0"/>
    <w:rsid w:val="0077509E"/>
    <w:rsid w:val="0077519B"/>
    <w:rsid w:val="00775762"/>
    <w:rsid w:val="00775794"/>
    <w:rsid w:val="00775FA0"/>
    <w:rsid w:val="00776340"/>
    <w:rsid w:val="007763D0"/>
    <w:rsid w:val="007764BF"/>
    <w:rsid w:val="00776588"/>
    <w:rsid w:val="00776C16"/>
    <w:rsid w:val="00776C78"/>
    <w:rsid w:val="00776CA0"/>
    <w:rsid w:val="00777094"/>
    <w:rsid w:val="00777F04"/>
    <w:rsid w:val="00780641"/>
    <w:rsid w:val="00780B9D"/>
    <w:rsid w:val="00780DDD"/>
    <w:rsid w:val="00780F0F"/>
    <w:rsid w:val="00781606"/>
    <w:rsid w:val="00781792"/>
    <w:rsid w:val="00781BC9"/>
    <w:rsid w:val="00781EF9"/>
    <w:rsid w:val="0078226D"/>
    <w:rsid w:val="00782785"/>
    <w:rsid w:val="00782AA5"/>
    <w:rsid w:val="00782EB1"/>
    <w:rsid w:val="00783320"/>
    <w:rsid w:val="0078350B"/>
    <w:rsid w:val="00783558"/>
    <w:rsid w:val="00783D3E"/>
    <w:rsid w:val="00784612"/>
    <w:rsid w:val="00784C51"/>
    <w:rsid w:val="0078500E"/>
    <w:rsid w:val="007850D2"/>
    <w:rsid w:val="007851DC"/>
    <w:rsid w:val="007853C2"/>
    <w:rsid w:val="007853DD"/>
    <w:rsid w:val="007854AA"/>
    <w:rsid w:val="0078597E"/>
    <w:rsid w:val="00785AD2"/>
    <w:rsid w:val="00785D4D"/>
    <w:rsid w:val="007860D0"/>
    <w:rsid w:val="0078643F"/>
    <w:rsid w:val="007865F8"/>
    <w:rsid w:val="00787017"/>
    <w:rsid w:val="0079004A"/>
    <w:rsid w:val="00790554"/>
    <w:rsid w:val="007907A9"/>
    <w:rsid w:val="00791084"/>
    <w:rsid w:val="00791473"/>
    <w:rsid w:val="00791A72"/>
    <w:rsid w:val="00792338"/>
    <w:rsid w:val="0079247D"/>
    <w:rsid w:val="007936E1"/>
    <w:rsid w:val="007948A7"/>
    <w:rsid w:val="00794D96"/>
    <w:rsid w:val="00795686"/>
    <w:rsid w:val="00795688"/>
    <w:rsid w:val="00795CF1"/>
    <w:rsid w:val="00795F50"/>
    <w:rsid w:val="0079624F"/>
    <w:rsid w:val="007962A6"/>
    <w:rsid w:val="00796488"/>
    <w:rsid w:val="00796760"/>
    <w:rsid w:val="00797467"/>
    <w:rsid w:val="00797D65"/>
    <w:rsid w:val="007A033E"/>
    <w:rsid w:val="007A03F0"/>
    <w:rsid w:val="007A0433"/>
    <w:rsid w:val="007A048F"/>
    <w:rsid w:val="007A0524"/>
    <w:rsid w:val="007A15D4"/>
    <w:rsid w:val="007A174A"/>
    <w:rsid w:val="007A18A1"/>
    <w:rsid w:val="007A1A74"/>
    <w:rsid w:val="007A1FD3"/>
    <w:rsid w:val="007A2789"/>
    <w:rsid w:val="007A2E37"/>
    <w:rsid w:val="007A3921"/>
    <w:rsid w:val="007A3C33"/>
    <w:rsid w:val="007A4CBE"/>
    <w:rsid w:val="007A4D0C"/>
    <w:rsid w:val="007A4D68"/>
    <w:rsid w:val="007A4EC1"/>
    <w:rsid w:val="007A55A4"/>
    <w:rsid w:val="007A566F"/>
    <w:rsid w:val="007A58F4"/>
    <w:rsid w:val="007A5F10"/>
    <w:rsid w:val="007A6107"/>
    <w:rsid w:val="007A671F"/>
    <w:rsid w:val="007A683E"/>
    <w:rsid w:val="007A689C"/>
    <w:rsid w:val="007A6C0D"/>
    <w:rsid w:val="007A7002"/>
    <w:rsid w:val="007A736A"/>
    <w:rsid w:val="007A7510"/>
    <w:rsid w:val="007A75EE"/>
    <w:rsid w:val="007A7659"/>
    <w:rsid w:val="007A799A"/>
    <w:rsid w:val="007A7E0D"/>
    <w:rsid w:val="007B04F8"/>
    <w:rsid w:val="007B0C04"/>
    <w:rsid w:val="007B0C15"/>
    <w:rsid w:val="007B0D45"/>
    <w:rsid w:val="007B1656"/>
    <w:rsid w:val="007B2291"/>
    <w:rsid w:val="007B25CB"/>
    <w:rsid w:val="007B297E"/>
    <w:rsid w:val="007B2D6B"/>
    <w:rsid w:val="007B35D1"/>
    <w:rsid w:val="007B367C"/>
    <w:rsid w:val="007B3BBD"/>
    <w:rsid w:val="007B3BD8"/>
    <w:rsid w:val="007B3CCC"/>
    <w:rsid w:val="007B3E30"/>
    <w:rsid w:val="007B3E65"/>
    <w:rsid w:val="007B46F8"/>
    <w:rsid w:val="007B4821"/>
    <w:rsid w:val="007B48EB"/>
    <w:rsid w:val="007B546E"/>
    <w:rsid w:val="007B5AC3"/>
    <w:rsid w:val="007B5EC7"/>
    <w:rsid w:val="007B5F3B"/>
    <w:rsid w:val="007B6230"/>
    <w:rsid w:val="007B6756"/>
    <w:rsid w:val="007B6E27"/>
    <w:rsid w:val="007B704E"/>
    <w:rsid w:val="007B736B"/>
    <w:rsid w:val="007B78BC"/>
    <w:rsid w:val="007B79E9"/>
    <w:rsid w:val="007C011A"/>
    <w:rsid w:val="007C0381"/>
    <w:rsid w:val="007C04B2"/>
    <w:rsid w:val="007C130D"/>
    <w:rsid w:val="007C15C3"/>
    <w:rsid w:val="007C1D56"/>
    <w:rsid w:val="007C1E95"/>
    <w:rsid w:val="007C35EE"/>
    <w:rsid w:val="007C3AF7"/>
    <w:rsid w:val="007C442C"/>
    <w:rsid w:val="007C467F"/>
    <w:rsid w:val="007C4A3E"/>
    <w:rsid w:val="007C508C"/>
    <w:rsid w:val="007C54C7"/>
    <w:rsid w:val="007C55A0"/>
    <w:rsid w:val="007C6769"/>
    <w:rsid w:val="007C6C1F"/>
    <w:rsid w:val="007C6CD6"/>
    <w:rsid w:val="007C6D47"/>
    <w:rsid w:val="007C6E11"/>
    <w:rsid w:val="007C706D"/>
    <w:rsid w:val="007C737F"/>
    <w:rsid w:val="007C7644"/>
    <w:rsid w:val="007C7947"/>
    <w:rsid w:val="007D03AF"/>
    <w:rsid w:val="007D0ECA"/>
    <w:rsid w:val="007D0F2A"/>
    <w:rsid w:val="007D17EF"/>
    <w:rsid w:val="007D183A"/>
    <w:rsid w:val="007D2000"/>
    <w:rsid w:val="007D263C"/>
    <w:rsid w:val="007D2BA6"/>
    <w:rsid w:val="007D2DE9"/>
    <w:rsid w:val="007D2EBB"/>
    <w:rsid w:val="007D3F7C"/>
    <w:rsid w:val="007D4455"/>
    <w:rsid w:val="007D4ABA"/>
    <w:rsid w:val="007D572F"/>
    <w:rsid w:val="007D637B"/>
    <w:rsid w:val="007D6AD7"/>
    <w:rsid w:val="007D6FF1"/>
    <w:rsid w:val="007D796A"/>
    <w:rsid w:val="007E063F"/>
    <w:rsid w:val="007E0914"/>
    <w:rsid w:val="007E0FB8"/>
    <w:rsid w:val="007E1178"/>
    <w:rsid w:val="007E1410"/>
    <w:rsid w:val="007E1853"/>
    <w:rsid w:val="007E18C6"/>
    <w:rsid w:val="007E1FDD"/>
    <w:rsid w:val="007E212C"/>
    <w:rsid w:val="007E22C5"/>
    <w:rsid w:val="007E26C2"/>
    <w:rsid w:val="007E29BD"/>
    <w:rsid w:val="007E2D0B"/>
    <w:rsid w:val="007E2DEF"/>
    <w:rsid w:val="007E313D"/>
    <w:rsid w:val="007E31C1"/>
    <w:rsid w:val="007E3715"/>
    <w:rsid w:val="007E3C0A"/>
    <w:rsid w:val="007E3CEA"/>
    <w:rsid w:val="007E3DFD"/>
    <w:rsid w:val="007E41C2"/>
    <w:rsid w:val="007E4229"/>
    <w:rsid w:val="007E4269"/>
    <w:rsid w:val="007E44A6"/>
    <w:rsid w:val="007E4A3F"/>
    <w:rsid w:val="007E56E9"/>
    <w:rsid w:val="007E61F0"/>
    <w:rsid w:val="007E6677"/>
    <w:rsid w:val="007E6816"/>
    <w:rsid w:val="007E682A"/>
    <w:rsid w:val="007E6E52"/>
    <w:rsid w:val="007E6F80"/>
    <w:rsid w:val="007E7128"/>
    <w:rsid w:val="007E746A"/>
    <w:rsid w:val="007F008E"/>
    <w:rsid w:val="007F01F3"/>
    <w:rsid w:val="007F03A8"/>
    <w:rsid w:val="007F0FBC"/>
    <w:rsid w:val="007F1019"/>
    <w:rsid w:val="007F1368"/>
    <w:rsid w:val="007F149C"/>
    <w:rsid w:val="007F168C"/>
    <w:rsid w:val="007F196D"/>
    <w:rsid w:val="007F1C30"/>
    <w:rsid w:val="007F2272"/>
    <w:rsid w:val="007F2B12"/>
    <w:rsid w:val="007F3D52"/>
    <w:rsid w:val="007F476A"/>
    <w:rsid w:val="007F4C73"/>
    <w:rsid w:val="007F544A"/>
    <w:rsid w:val="007F601A"/>
    <w:rsid w:val="007F706F"/>
    <w:rsid w:val="007F7259"/>
    <w:rsid w:val="007F789F"/>
    <w:rsid w:val="008000A5"/>
    <w:rsid w:val="00800683"/>
    <w:rsid w:val="00800847"/>
    <w:rsid w:val="00800A66"/>
    <w:rsid w:val="00800AFC"/>
    <w:rsid w:val="0080170B"/>
    <w:rsid w:val="008018FF"/>
    <w:rsid w:val="0080218E"/>
    <w:rsid w:val="00802509"/>
    <w:rsid w:val="0080276A"/>
    <w:rsid w:val="00802E62"/>
    <w:rsid w:val="00803014"/>
    <w:rsid w:val="008030BB"/>
    <w:rsid w:val="00803573"/>
    <w:rsid w:val="00803690"/>
    <w:rsid w:val="008037B2"/>
    <w:rsid w:val="008037C0"/>
    <w:rsid w:val="00803D92"/>
    <w:rsid w:val="00803E5C"/>
    <w:rsid w:val="00803EBA"/>
    <w:rsid w:val="00803FAE"/>
    <w:rsid w:val="008043EE"/>
    <w:rsid w:val="0080486F"/>
    <w:rsid w:val="00804A4B"/>
    <w:rsid w:val="00804B3A"/>
    <w:rsid w:val="00804E9C"/>
    <w:rsid w:val="00804F2F"/>
    <w:rsid w:val="00805511"/>
    <w:rsid w:val="00806B94"/>
    <w:rsid w:val="00806C17"/>
    <w:rsid w:val="00806EBB"/>
    <w:rsid w:val="00807B31"/>
    <w:rsid w:val="008101AF"/>
    <w:rsid w:val="008108D7"/>
    <w:rsid w:val="00810AE7"/>
    <w:rsid w:val="00810FD8"/>
    <w:rsid w:val="00811D8D"/>
    <w:rsid w:val="008123AF"/>
    <w:rsid w:val="008125F6"/>
    <w:rsid w:val="00812ABC"/>
    <w:rsid w:val="00813F94"/>
    <w:rsid w:val="00814510"/>
    <w:rsid w:val="00814A2A"/>
    <w:rsid w:val="00814DDB"/>
    <w:rsid w:val="00814FF8"/>
    <w:rsid w:val="00815775"/>
    <w:rsid w:val="00815931"/>
    <w:rsid w:val="00815BAA"/>
    <w:rsid w:val="00815C15"/>
    <w:rsid w:val="00815DF7"/>
    <w:rsid w:val="008161C1"/>
    <w:rsid w:val="008164A3"/>
    <w:rsid w:val="00816851"/>
    <w:rsid w:val="00816D66"/>
    <w:rsid w:val="00816E16"/>
    <w:rsid w:val="00817305"/>
    <w:rsid w:val="00817352"/>
    <w:rsid w:val="00817DDF"/>
    <w:rsid w:val="00820899"/>
    <w:rsid w:val="00820D90"/>
    <w:rsid w:val="0082134D"/>
    <w:rsid w:val="008218FD"/>
    <w:rsid w:val="00822097"/>
    <w:rsid w:val="008226DC"/>
    <w:rsid w:val="00822A13"/>
    <w:rsid w:val="00822C92"/>
    <w:rsid w:val="00823005"/>
    <w:rsid w:val="008230BC"/>
    <w:rsid w:val="008242A0"/>
    <w:rsid w:val="008243EE"/>
    <w:rsid w:val="00824A0C"/>
    <w:rsid w:val="00824D31"/>
    <w:rsid w:val="00824F60"/>
    <w:rsid w:val="00825008"/>
    <w:rsid w:val="00825230"/>
    <w:rsid w:val="0082531C"/>
    <w:rsid w:val="00825D73"/>
    <w:rsid w:val="00825DD8"/>
    <w:rsid w:val="008267E0"/>
    <w:rsid w:val="00826BB1"/>
    <w:rsid w:val="00826EC9"/>
    <w:rsid w:val="00827531"/>
    <w:rsid w:val="00827750"/>
    <w:rsid w:val="00827904"/>
    <w:rsid w:val="00827921"/>
    <w:rsid w:val="00830017"/>
    <w:rsid w:val="00830020"/>
    <w:rsid w:val="008300DF"/>
    <w:rsid w:val="0083034C"/>
    <w:rsid w:val="00830454"/>
    <w:rsid w:val="0083075B"/>
    <w:rsid w:val="00830776"/>
    <w:rsid w:val="00831040"/>
    <w:rsid w:val="00831283"/>
    <w:rsid w:val="0083139B"/>
    <w:rsid w:val="00831B88"/>
    <w:rsid w:val="00832A8C"/>
    <w:rsid w:val="00832B83"/>
    <w:rsid w:val="00832B9A"/>
    <w:rsid w:val="00832E10"/>
    <w:rsid w:val="00832F29"/>
    <w:rsid w:val="00832F78"/>
    <w:rsid w:val="0083335C"/>
    <w:rsid w:val="00833B05"/>
    <w:rsid w:val="00833FEF"/>
    <w:rsid w:val="00834342"/>
    <w:rsid w:val="00834E36"/>
    <w:rsid w:val="00834E6D"/>
    <w:rsid w:val="00835DB1"/>
    <w:rsid w:val="00835E44"/>
    <w:rsid w:val="00835E4E"/>
    <w:rsid w:val="008366C3"/>
    <w:rsid w:val="00836C87"/>
    <w:rsid w:val="00837040"/>
    <w:rsid w:val="008371DF"/>
    <w:rsid w:val="00837453"/>
    <w:rsid w:val="00837545"/>
    <w:rsid w:val="00837AD8"/>
    <w:rsid w:val="00837C79"/>
    <w:rsid w:val="00837D78"/>
    <w:rsid w:val="00837DDD"/>
    <w:rsid w:val="0084043F"/>
    <w:rsid w:val="00840A19"/>
    <w:rsid w:val="00840C7C"/>
    <w:rsid w:val="00840C83"/>
    <w:rsid w:val="00840DFE"/>
    <w:rsid w:val="00841075"/>
    <w:rsid w:val="008418DB"/>
    <w:rsid w:val="00841D80"/>
    <w:rsid w:val="00841E23"/>
    <w:rsid w:val="00841FA4"/>
    <w:rsid w:val="008427DD"/>
    <w:rsid w:val="00842935"/>
    <w:rsid w:val="00842958"/>
    <w:rsid w:val="00843245"/>
    <w:rsid w:val="008434C8"/>
    <w:rsid w:val="00843705"/>
    <w:rsid w:val="00843D45"/>
    <w:rsid w:val="00844262"/>
    <w:rsid w:val="00844607"/>
    <w:rsid w:val="00844C7D"/>
    <w:rsid w:val="0084503E"/>
    <w:rsid w:val="00845361"/>
    <w:rsid w:val="00845936"/>
    <w:rsid w:val="00845DF8"/>
    <w:rsid w:val="00845FCC"/>
    <w:rsid w:val="00846230"/>
    <w:rsid w:val="00846A09"/>
    <w:rsid w:val="00847877"/>
    <w:rsid w:val="00847BFD"/>
    <w:rsid w:val="00850C0A"/>
    <w:rsid w:val="00851746"/>
    <w:rsid w:val="00852061"/>
    <w:rsid w:val="008523B1"/>
    <w:rsid w:val="00852584"/>
    <w:rsid w:val="008529CB"/>
    <w:rsid w:val="00852BA9"/>
    <w:rsid w:val="00852C4C"/>
    <w:rsid w:val="0085393B"/>
    <w:rsid w:val="00853EB3"/>
    <w:rsid w:val="00853EF7"/>
    <w:rsid w:val="0085516B"/>
    <w:rsid w:val="008556D7"/>
    <w:rsid w:val="00855897"/>
    <w:rsid w:val="00855A85"/>
    <w:rsid w:val="008572F1"/>
    <w:rsid w:val="008573AD"/>
    <w:rsid w:val="008573BF"/>
    <w:rsid w:val="0085749E"/>
    <w:rsid w:val="00857643"/>
    <w:rsid w:val="0086002B"/>
    <w:rsid w:val="00860173"/>
    <w:rsid w:val="008602DB"/>
    <w:rsid w:val="008603A0"/>
    <w:rsid w:val="008606F2"/>
    <w:rsid w:val="00860F9B"/>
    <w:rsid w:val="008613F4"/>
    <w:rsid w:val="00861A70"/>
    <w:rsid w:val="00861B17"/>
    <w:rsid w:val="00861F36"/>
    <w:rsid w:val="0086226E"/>
    <w:rsid w:val="00862400"/>
    <w:rsid w:val="00862782"/>
    <w:rsid w:val="0086337C"/>
    <w:rsid w:val="0086340E"/>
    <w:rsid w:val="008638B4"/>
    <w:rsid w:val="0086390F"/>
    <w:rsid w:val="00863BB3"/>
    <w:rsid w:val="00863CDC"/>
    <w:rsid w:val="00864373"/>
    <w:rsid w:val="008643A5"/>
    <w:rsid w:val="00864589"/>
    <w:rsid w:val="00864703"/>
    <w:rsid w:val="00864985"/>
    <w:rsid w:val="00864C45"/>
    <w:rsid w:val="00864CBE"/>
    <w:rsid w:val="00864FF5"/>
    <w:rsid w:val="00865072"/>
    <w:rsid w:val="00865493"/>
    <w:rsid w:val="00865682"/>
    <w:rsid w:val="00865BE7"/>
    <w:rsid w:val="008660B8"/>
    <w:rsid w:val="00866A8C"/>
    <w:rsid w:val="00866BFD"/>
    <w:rsid w:val="008672E0"/>
    <w:rsid w:val="008673B6"/>
    <w:rsid w:val="00867841"/>
    <w:rsid w:val="00867936"/>
    <w:rsid w:val="008702EE"/>
    <w:rsid w:val="00870715"/>
    <w:rsid w:val="00870C21"/>
    <w:rsid w:val="00871002"/>
    <w:rsid w:val="00871138"/>
    <w:rsid w:val="008713C2"/>
    <w:rsid w:val="0087147A"/>
    <w:rsid w:val="00871886"/>
    <w:rsid w:val="0087199B"/>
    <w:rsid w:val="00871B21"/>
    <w:rsid w:val="0087215B"/>
    <w:rsid w:val="00872833"/>
    <w:rsid w:val="00873DF1"/>
    <w:rsid w:val="00873E28"/>
    <w:rsid w:val="00873EB9"/>
    <w:rsid w:val="008740D3"/>
    <w:rsid w:val="00874DDE"/>
    <w:rsid w:val="00874DFF"/>
    <w:rsid w:val="0087527D"/>
    <w:rsid w:val="00875AFE"/>
    <w:rsid w:val="00876150"/>
    <w:rsid w:val="00876397"/>
    <w:rsid w:val="00876504"/>
    <w:rsid w:val="00876763"/>
    <w:rsid w:val="008770D0"/>
    <w:rsid w:val="00877814"/>
    <w:rsid w:val="00881A59"/>
    <w:rsid w:val="00881D60"/>
    <w:rsid w:val="00882505"/>
    <w:rsid w:val="00882E14"/>
    <w:rsid w:val="00883042"/>
    <w:rsid w:val="0088311D"/>
    <w:rsid w:val="008832E7"/>
    <w:rsid w:val="00883499"/>
    <w:rsid w:val="00883760"/>
    <w:rsid w:val="008839C5"/>
    <w:rsid w:val="00884292"/>
    <w:rsid w:val="00884A07"/>
    <w:rsid w:val="00884D44"/>
    <w:rsid w:val="00884D66"/>
    <w:rsid w:val="008850F1"/>
    <w:rsid w:val="00886FDA"/>
    <w:rsid w:val="0088701F"/>
    <w:rsid w:val="008878E4"/>
    <w:rsid w:val="00887F27"/>
    <w:rsid w:val="00890034"/>
    <w:rsid w:val="0089057E"/>
    <w:rsid w:val="008908DE"/>
    <w:rsid w:val="008912D1"/>
    <w:rsid w:val="008913DF"/>
    <w:rsid w:val="0089191E"/>
    <w:rsid w:val="00891988"/>
    <w:rsid w:val="00891BF9"/>
    <w:rsid w:val="00891C2F"/>
    <w:rsid w:val="00891F77"/>
    <w:rsid w:val="008923DD"/>
    <w:rsid w:val="008926D8"/>
    <w:rsid w:val="0089278B"/>
    <w:rsid w:val="0089286A"/>
    <w:rsid w:val="00892B6B"/>
    <w:rsid w:val="00893A2C"/>
    <w:rsid w:val="00893E0F"/>
    <w:rsid w:val="008944F8"/>
    <w:rsid w:val="0089491F"/>
    <w:rsid w:val="00894DD8"/>
    <w:rsid w:val="00895063"/>
    <w:rsid w:val="0089541D"/>
    <w:rsid w:val="008960B0"/>
    <w:rsid w:val="00896189"/>
    <w:rsid w:val="0089663B"/>
    <w:rsid w:val="00896C72"/>
    <w:rsid w:val="00896D8B"/>
    <w:rsid w:val="00896F76"/>
    <w:rsid w:val="00897776"/>
    <w:rsid w:val="008978EB"/>
    <w:rsid w:val="00897959"/>
    <w:rsid w:val="008A01FC"/>
    <w:rsid w:val="008A1151"/>
    <w:rsid w:val="008A12AD"/>
    <w:rsid w:val="008A132E"/>
    <w:rsid w:val="008A1DD3"/>
    <w:rsid w:val="008A1F93"/>
    <w:rsid w:val="008A23FA"/>
    <w:rsid w:val="008A292C"/>
    <w:rsid w:val="008A329A"/>
    <w:rsid w:val="008A40CC"/>
    <w:rsid w:val="008A4D2E"/>
    <w:rsid w:val="008A4D96"/>
    <w:rsid w:val="008A5192"/>
    <w:rsid w:val="008A534E"/>
    <w:rsid w:val="008A5385"/>
    <w:rsid w:val="008A57CE"/>
    <w:rsid w:val="008A5978"/>
    <w:rsid w:val="008A5D37"/>
    <w:rsid w:val="008A60FE"/>
    <w:rsid w:val="008A642D"/>
    <w:rsid w:val="008A664E"/>
    <w:rsid w:val="008A72E7"/>
    <w:rsid w:val="008A7402"/>
    <w:rsid w:val="008A78A3"/>
    <w:rsid w:val="008A796E"/>
    <w:rsid w:val="008A7E5E"/>
    <w:rsid w:val="008A7F20"/>
    <w:rsid w:val="008B020E"/>
    <w:rsid w:val="008B0A59"/>
    <w:rsid w:val="008B119B"/>
    <w:rsid w:val="008B2883"/>
    <w:rsid w:val="008B30AC"/>
    <w:rsid w:val="008B3868"/>
    <w:rsid w:val="008B462F"/>
    <w:rsid w:val="008B465C"/>
    <w:rsid w:val="008B5A64"/>
    <w:rsid w:val="008B6A5A"/>
    <w:rsid w:val="008B717B"/>
    <w:rsid w:val="008B72C3"/>
    <w:rsid w:val="008B7869"/>
    <w:rsid w:val="008B79CD"/>
    <w:rsid w:val="008B7BE9"/>
    <w:rsid w:val="008B7C86"/>
    <w:rsid w:val="008C0A40"/>
    <w:rsid w:val="008C1BD7"/>
    <w:rsid w:val="008C1DC0"/>
    <w:rsid w:val="008C288C"/>
    <w:rsid w:val="008C3259"/>
    <w:rsid w:val="008C3BFC"/>
    <w:rsid w:val="008C3DE7"/>
    <w:rsid w:val="008C40B8"/>
    <w:rsid w:val="008C42EE"/>
    <w:rsid w:val="008C46E7"/>
    <w:rsid w:val="008C4963"/>
    <w:rsid w:val="008C4A3B"/>
    <w:rsid w:val="008C4AB5"/>
    <w:rsid w:val="008C4B40"/>
    <w:rsid w:val="008C4F9B"/>
    <w:rsid w:val="008C562D"/>
    <w:rsid w:val="008C5742"/>
    <w:rsid w:val="008C5A04"/>
    <w:rsid w:val="008C5FFC"/>
    <w:rsid w:val="008C687D"/>
    <w:rsid w:val="008C6901"/>
    <w:rsid w:val="008C691A"/>
    <w:rsid w:val="008C77CC"/>
    <w:rsid w:val="008C7860"/>
    <w:rsid w:val="008D02E8"/>
    <w:rsid w:val="008D033E"/>
    <w:rsid w:val="008D03B3"/>
    <w:rsid w:val="008D03DA"/>
    <w:rsid w:val="008D0462"/>
    <w:rsid w:val="008D0507"/>
    <w:rsid w:val="008D116E"/>
    <w:rsid w:val="008D2D31"/>
    <w:rsid w:val="008D2EA3"/>
    <w:rsid w:val="008D2FBE"/>
    <w:rsid w:val="008D3055"/>
    <w:rsid w:val="008D3392"/>
    <w:rsid w:val="008D38F9"/>
    <w:rsid w:val="008D4738"/>
    <w:rsid w:val="008D4B2B"/>
    <w:rsid w:val="008D4CF9"/>
    <w:rsid w:val="008D4FA4"/>
    <w:rsid w:val="008D529C"/>
    <w:rsid w:val="008D57F3"/>
    <w:rsid w:val="008D661E"/>
    <w:rsid w:val="008D6664"/>
    <w:rsid w:val="008D66D7"/>
    <w:rsid w:val="008D713A"/>
    <w:rsid w:val="008D7C02"/>
    <w:rsid w:val="008D7E64"/>
    <w:rsid w:val="008E10A0"/>
    <w:rsid w:val="008E1169"/>
    <w:rsid w:val="008E126D"/>
    <w:rsid w:val="008E1744"/>
    <w:rsid w:val="008E191D"/>
    <w:rsid w:val="008E21D0"/>
    <w:rsid w:val="008E2399"/>
    <w:rsid w:val="008E2652"/>
    <w:rsid w:val="008E2C6C"/>
    <w:rsid w:val="008E34EE"/>
    <w:rsid w:val="008E35C7"/>
    <w:rsid w:val="008E3A56"/>
    <w:rsid w:val="008E3E60"/>
    <w:rsid w:val="008E4263"/>
    <w:rsid w:val="008E4D7C"/>
    <w:rsid w:val="008E4DB9"/>
    <w:rsid w:val="008E4EF9"/>
    <w:rsid w:val="008E50BC"/>
    <w:rsid w:val="008E55AD"/>
    <w:rsid w:val="008E5F71"/>
    <w:rsid w:val="008E5F84"/>
    <w:rsid w:val="008E6075"/>
    <w:rsid w:val="008E60B4"/>
    <w:rsid w:val="008E74BD"/>
    <w:rsid w:val="008E78C1"/>
    <w:rsid w:val="008E7B59"/>
    <w:rsid w:val="008F0396"/>
    <w:rsid w:val="008F05A4"/>
    <w:rsid w:val="008F0D20"/>
    <w:rsid w:val="008F11B7"/>
    <w:rsid w:val="008F147D"/>
    <w:rsid w:val="008F1576"/>
    <w:rsid w:val="008F1FB4"/>
    <w:rsid w:val="008F20A9"/>
    <w:rsid w:val="008F2B5C"/>
    <w:rsid w:val="008F3736"/>
    <w:rsid w:val="008F3828"/>
    <w:rsid w:val="008F3834"/>
    <w:rsid w:val="008F3E01"/>
    <w:rsid w:val="008F3ED0"/>
    <w:rsid w:val="008F4942"/>
    <w:rsid w:val="008F5DAB"/>
    <w:rsid w:val="008F6818"/>
    <w:rsid w:val="008F6ED0"/>
    <w:rsid w:val="008F6F82"/>
    <w:rsid w:val="008F76DB"/>
    <w:rsid w:val="008F7B66"/>
    <w:rsid w:val="008F7C3B"/>
    <w:rsid w:val="008F7CC8"/>
    <w:rsid w:val="00900322"/>
    <w:rsid w:val="0090162B"/>
    <w:rsid w:val="009016C4"/>
    <w:rsid w:val="00902475"/>
    <w:rsid w:val="00902D93"/>
    <w:rsid w:val="00903659"/>
    <w:rsid w:val="009037FC"/>
    <w:rsid w:val="00903B74"/>
    <w:rsid w:val="00904373"/>
    <w:rsid w:val="00904654"/>
    <w:rsid w:val="0090475C"/>
    <w:rsid w:val="009054A8"/>
    <w:rsid w:val="00905F0D"/>
    <w:rsid w:val="00906214"/>
    <w:rsid w:val="00906526"/>
    <w:rsid w:val="009067E6"/>
    <w:rsid w:val="009069E4"/>
    <w:rsid w:val="00906AD2"/>
    <w:rsid w:val="00906B4E"/>
    <w:rsid w:val="00906EC5"/>
    <w:rsid w:val="009071C2"/>
    <w:rsid w:val="00907DFA"/>
    <w:rsid w:val="00907F13"/>
    <w:rsid w:val="00910554"/>
    <w:rsid w:val="00910EE2"/>
    <w:rsid w:val="00911263"/>
    <w:rsid w:val="0091139D"/>
    <w:rsid w:val="0091209D"/>
    <w:rsid w:val="00912E7B"/>
    <w:rsid w:val="0091320E"/>
    <w:rsid w:val="009132A0"/>
    <w:rsid w:val="0091341E"/>
    <w:rsid w:val="009134CB"/>
    <w:rsid w:val="0091388A"/>
    <w:rsid w:val="009138B5"/>
    <w:rsid w:val="00913E0E"/>
    <w:rsid w:val="00913FA4"/>
    <w:rsid w:val="0091431B"/>
    <w:rsid w:val="00914F8E"/>
    <w:rsid w:val="00914FDD"/>
    <w:rsid w:val="0091529D"/>
    <w:rsid w:val="009152DF"/>
    <w:rsid w:val="0091543B"/>
    <w:rsid w:val="009163BA"/>
    <w:rsid w:val="0091659C"/>
    <w:rsid w:val="00916AED"/>
    <w:rsid w:val="00916CA4"/>
    <w:rsid w:val="009172C6"/>
    <w:rsid w:val="009173E5"/>
    <w:rsid w:val="00917573"/>
    <w:rsid w:val="00917758"/>
    <w:rsid w:val="009177C5"/>
    <w:rsid w:val="0092019D"/>
    <w:rsid w:val="00920625"/>
    <w:rsid w:val="009207BB"/>
    <w:rsid w:val="00920F70"/>
    <w:rsid w:val="009214AE"/>
    <w:rsid w:val="00922989"/>
    <w:rsid w:val="0092303E"/>
    <w:rsid w:val="00923258"/>
    <w:rsid w:val="00923716"/>
    <w:rsid w:val="00924268"/>
    <w:rsid w:val="0092431C"/>
    <w:rsid w:val="00924D4E"/>
    <w:rsid w:val="00924DB5"/>
    <w:rsid w:val="00924DDD"/>
    <w:rsid w:val="009259BE"/>
    <w:rsid w:val="00925D93"/>
    <w:rsid w:val="00925DC4"/>
    <w:rsid w:val="00926619"/>
    <w:rsid w:val="00926C5D"/>
    <w:rsid w:val="00927496"/>
    <w:rsid w:val="0092754B"/>
    <w:rsid w:val="009275B6"/>
    <w:rsid w:val="00927625"/>
    <w:rsid w:val="009277D0"/>
    <w:rsid w:val="00927D8E"/>
    <w:rsid w:val="00927E70"/>
    <w:rsid w:val="00930165"/>
    <w:rsid w:val="009302B3"/>
    <w:rsid w:val="0093036F"/>
    <w:rsid w:val="00930491"/>
    <w:rsid w:val="009304EB"/>
    <w:rsid w:val="009307F0"/>
    <w:rsid w:val="00931286"/>
    <w:rsid w:val="00931A0F"/>
    <w:rsid w:val="00931C3F"/>
    <w:rsid w:val="00931CCE"/>
    <w:rsid w:val="00932298"/>
    <w:rsid w:val="00932504"/>
    <w:rsid w:val="009326CA"/>
    <w:rsid w:val="00932D40"/>
    <w:rsid w:val="0093323E"/>
    <w:rsid w:val="0093326E"/>
    <w:rsid w:val="009336E1"/>
    <w:rsid w:val="009343C0"/>
    <w:rsid w:val="0093459A"/>
    <w:rsid w:val="00934B08"/>
    <w:rsid w:val="00934C04"/>
    <w:rsid w:val="009353DC"/>
    <w:rsid w:val="00935704"/>
    <w:rsid w:val="00936002"/>
    <w:rsid w:val="0093644F"/>
    <w:rsid w:val="00936490"/>
    <w:rsid w:val="009364CA"/>
    <w:rsid w:val="009365B3"/>
    <w:rsid w:val="00936611"/>
    <w:rsid w:val="00937018"/>
    <w:rsid w:val="00937149"/>
    <w:rsid w:val="009372D3"/>
    <w:rsid w:val="0093795F"/>
    <w:rsid w:val="00937AF9"/>
    <w:rsid w:val="009400A3"/>
    <w:rsid w:val="0094057E"/>
    <w:rsid w:val="009406B5"/>
    <w:rsid w:val="00940C67"/>
    <w:rsid w:val="00940CF5"/>
    <w:rsid w:val="00940EBE"/>
    <w:rsid w:val="00941538"/>
    <w:rsid w:val="00941694"/>
    <w:rsid w:val="00941727"/>
    <w:rsid w:val="00941BC8"/>
    <w:rsid w:val="00942087"/>
    <w:rsid w:val="009434E8"/>
    <w:rsid w:val="0094352C"/>
    <w:rsid w:val="00943989"/>
    <w:rsid w:val="00943CFE"/>
    <w:rsid w:val="00943D57"/>
    <w:rsid w:val="009440D7"/>
    <w:rsid w:val="00944C5B"/>
    <w:rsid w:val="00944C5F"/>
    <w:rsid w:val="00944E86"/>
    <w:rsid w:val="00945090"/>
    <w:rsid w:val="00945597"/>
    <w:rsid w:val="00945950"/>
    <w:rsid w:val="00945D60"/>
    <w:rsid w:val="0094626C"/>
    <w:rsid w:val="00946658"/>
    <w:rsid w:val="009478F7"/>
    <w:rsid w:val="00947A5D"/>
    <w:rsid w:val="009504EB"/>
    <w:rsid w:val="009508D2"/>
    <w:rsid w:val="00950B8F"/>
    <w:rsid w:val="00952B41"/>
    <w:rsid w:val="00952B97"/>
    <w:rsid w:val="00953028"/>
    <w:rsid w:val="00953284"/>
    <w:rsid w:val="009534CE"/>
    <w:rsid w:val="009539A6"/>
    <w:rsid w:val="00953B70"/>
    <w:rsid w:val="00954383"/>
    <w:rsid w:val="00954AEE"/>
    <w:rsid w:val="00954BED"/>
    <w:rsid w:val="00954D73"/>
    <w:rsid w:val="0095525C"/>
    <w:rsid w:val="00955482"/>
    <w:rsid w:val="009555E4"/>
    <w:rsid w:val="00955A6F"/>
    <w:rsid w:val="00956050"/>
    <w:rsid w:val="00956598"/>
    <w:rsid w:val="00956C7B"/>
    <w:rsid w:val="00956CD6"/>
    <w:rsid w:val="00957185"/>
    <w:rsid w:val="00957549"/>
    <w:rsid w:val="00960282"/>
    <w:rsid w:val="00960483"/>
    <w:rsid w:val="0096049C"/>
    <w:rsid w:val="009609FD"/>
    <w:rsid w:val="00960B0A"/>
    <w:rsid w:val="00962061"/>
    <w:rsid w:val="0096274E"/>
    <w:rsid w:val="009628AE"/>
    <w:rsid w:val="0096298F"/>
    <w:rsid w:val="00963C27"/>
    <w:rsid w:val="0096466C"/>
    <w:rsid w:val="0096570F"/>
    <w:rsid w:val="00965CB3"/>
    <w:rsid w:val="00966A01"/>
    <w:rsid w:val="00966C6A"/>
    <w:rsid w:val="00966D0C"/>
    <w:rsid w:val="009674A2"/>
    <w:rsid w:val="00967AA9"/>
    <w:rsid w:val="00967EF7"/>
    <w:rsid w:val="00970571"/>
    <w:rsid w:val="009706EB"/>
    <w:rsid w:val="00970C28"/>
    <w:rsid w:val="00971CBD"/>
    <w:rsid w:val="00971EFB"/>
    <w:rsid w:val="0097220B"/>
    <w:rsid w:val="00972AD4"/>
    <w:rsid w:val="00972CC7"/>
    <w:rsid w:val="00972F02"/>
    <w:rsid w:val="00973334"/>
    <w:rsid w:val="0097348E"/>
    <w:rsid w:val="009736DA"/>
    <w:rsid w:val="00973737"/>
    <w:rsid w:val="009740DF"/>
    <w:rsid w:val="009748FC"/>
    <w:rsid w:val="00974A35"/>
    <w:rsid w:val="00975203"/>
    <w:rsid w:val="0097580B"/>
    <w:rsid w:val="009760CA"/>
    <w:rsid w:val="00976265"/>
    <w:rsid w:val="00976988"/>
    <w:rsid w:val="00976ADD"/>
    <w:rsid w:val="0097712F"/>
    <w:rsid w:val="009771AB"/>
    <w:rsid w:val="00977640"/>
    <w:rsid w:val="00977C1E"/>
    <w:rsid w:val="00977FFD"/>
    <w:rsid w:val="009809AF"/>
    <w:rsid w:val="00980A18"/>
    <w:rsid w:val="00980B72"/>
    <w:rsid w:val="009812BB"/>
    <w:rsid w:val="00981359"/>
    <w:rsid w:val="0098160E"/>
    <w:rsid w:val="00981683"/>
    <w:rsid w:val="009816EA"/>
    <w:rsid w:val="00982606"/>
    <w:rsid w:val="009835CB"/>
    <w:rsid w:val="00983A6A"/>
    <w:rsid w:val="00983EEC"/>
    <w:rsid w:val="00984A89"/>
    <w:rsid w:val="00984FE9"/>
    <w:rsid w:val="00985014"/>
    <w:rsid w:val="00985888"/>
    <w:rsid w:val="009859FE"/>
    <w:rsid w:val="00985CFC"/>
    <w:rsid w:val="0098625F"/>
    <w:rsid w:val="00986E62"/>
    <w:rsid w:val="00987A97"/>
    <w:rsid w:val="009903F1"/>
    <w:rsid w:val="0099050D"/>
    <w:rsid w:val="00990BFB"/>
    <w:rsid w:val="00990F79"/>
    <w:rsid w:val="00990FDE"/>
    <w:rsid w:val="00991242"/>
    <w:rsid w:val="009916E3"/>
    <w:rsid w:val="009918F1"/>
    <w:rsid w:val="00991F13"/>
    <w:rsid w:val="0099211F"/>
    <w:rsid w:val="009929A7"/>
    <w:rsid w:val="00992B8D"/>
    <w:rsid w:val="00993697"/>
    <w:rsid w:val="009937B7"/>
    <w:rsid w:val="00993E5C"/>
    <w:rsid w:val="00993EBC"/>
    <w:rsid w:val="00993FCB"/>
    <w:rsid w:val="009948F0"/>
    <w:rsid w:val="009952F9"/>
    <w:rsid w:val="00995329"/>
    <w:rsid w:val="00995EE3"/>
    <w:rsid w:val="00995FA6"/>
    <w:rsid w:val="00995FB2"/>
    <w:rsid w:val="009961CE"/>
    <w:rsid w:val="009963C0"/>
    <w:rsid w:val="009969E3"/>
    <w:rsid w:val="00996D65"/>
    <w:rsid w:val="009A0C9E"/>
    <w:rsid w:val="009A1776"/>
    <w:rsid w:val="009A1A24"/>
    <w:rsid w:val="009A1ABE"/>
    <w:rsid w:val="009A1E88"/>
    <w:rsid w:val="009A1FE6"/>
    <w:rsid w:val="009A2257"/>
    <w:rsid w:val="009A309E"/>
    <w:rsid w:val="009A3436"/>
    <w:rsid w:val="009A365C"/>
    <w:rsid w:val="009A36AC"/>
    <w:rsid w:val="009A410D"/>
    <w:rsid w:val="009A418D"/>
    <w:rsid w:val="009A4498"/>
    <w:rsid w:val="009A45FC"/>
    <w:rsid w:val="009A465D"/>
    <w:rsid w:val="009A4FB5"/>
    <w:rsid w:val="009A53BF"/>
    <w:rsid w:val="009A5969"/>
    <w:rsid w:val="009A5BBD"/>
    <w:rsid w:val="009A5EE4"/>
    <w:rsid w:val="009A60D4"/>
    <w:rsid w:val="009A7385"/>
    <w:rsid w:val="009A7A92"/>
    <w:rsid w:val="009A7BCC"/>
    <w:rsid w:val="009A7E6F"/>
    <w:rsid w:val="009B0FEF"/>
    <w:rsid w:val="009B1163"/>
    <w:rsid w:val="009B1604"/>
    <w:rsid w:val="009B1690"/>
    <w:rsid w:val="009B174F"/>
    <w:rsid w:val="009B19D4"/>
    <w:rsid w:val="009B1A91"/>
    <w:rsid w:val="009B2938"/>
    <w:rsid w:val="009B2973"/>
    <w:rsid w:val="009B3D5D"/>
    <w:rsid w:val="009B46FF"/>
    <w:rsid w:val="009B5E37"/>
    <w:rsid w:val="009B677C"/>
    <w:rsid w:val="009B6E26"/>
    <w:rsid w:val="009B71D8"/>
    <w:rsid w:val="009B7444"/>
    <w:rsid w:val="009B7824"/>
    <w:rsid w:val="009B79F9"/>
    <w:rsid w:val="009B7A67"/>
    <w:rsid w:val="009B7AA6"/>
    <w:rsid w:val="009B7C2C"/>
    <w:rsid w:val="009B7C85"/>
    <w:rsid w:val="009B7F30"/>
    <w:rsid w:val="009B7F54"/>
    <w:rsid w:val="009C0093"/>
    <w:rsid w:val="009C0209"/>
    <w:rsid w:val="009C0D66"/>
    <w:rsid w:val="009C0E9F"/>
    <w:rsid w:val="009C14AD"/>
    <w:rsid w:val="009C15F6"/>
    <w:rsid w:val="009C1E47"/>
    <w:rsid w:val="009C201D"/>
    <w:rsid w:val="009C27A5"/>
    <w:rsid w:val="009C2AB4"/>
    <w:rsid w:val="009C2CEF"/>
    <w:rsid w:val="009C2DCD"/>
    <w:rsid w:val="009C3027"/>
    <w:rsid w:val="009C3293"/>
    <w:rsid w:val="009C3619"/>
    <w:rsid w:val="009C3B94"/>
    <w:rsid w:val="009C40B0"/>
    <w:rsid w:val="009C4768"/>
    <w:rsid w:val="009C4902"/>
    <w:rsid w:val="009C53D1"/>
    <w:rsid w:val="009C54CD"/>
    <w:rsid w:val="009C555B"/>
    <w:rsid w:val="009C5576"/>
    <w:rsid w:val="009C55D3"/>
    <w:rsid w:val="009C5B0C"/>
    <w:rsid w:val="009C638C"/>
    <w:rsid w:val="009C6A09"/>
    <w:rsid w:val="009C6E09"/>
    <w:rsid w:val="009C6ED1"/>
    <w:rsid w:val="009C713D"/>
    <w:rsid w:val="009C727A"/>
    <w:rsid w:val="009D0517"/>
    <w:rsid w:val="009D11E0"/>
    <w:rsid w:val="009D1530"/>
    <w:rsid w:val="009D163D"/>
    <w:rsid w:val="009D1AC0"/>
    <w:rsid w:val="009D238C"/>
    <w:rsid w:val="009D2B0D"/>
    <w:rsid w:val="009D39A0"/>
    <w:rsid w:val="009D449B"/>
    <w:rsid w:val="009D4682"/>
    <w:rsid w:val="009D48FF"/>
    <w:rsid w:val="009D4F58"/>
    <w:rsid w:val="009D5156"/>
    <w:rsid w:val="009D570F"/>
    <w:rsid w:val="009D603A"/>
    <w:rsid w:val="009D634E"/>
    <w:rsid w:val="009D6359"/>
    <w:rsid w:val="009D7248"/>
    <w:rsid w:val="009E066A"/>
    <w:rsid w:val="009E086E"/>
    <w:rsid w:val="009E0941"/>
    <w:rsid w:val="009E0DE4"/>
    <w:rsid w:val="009E0ED3"/>
    <w:rsid w:val="009E126B"/>
    <w:rsid w:val="009E1333"/>
    <w:rsid w:val="009E1568"/>
    <w:rsid w:val="009E18C2"/>
    <w:rsid w:val="009E37E3"/>
    <w:rsid w:val="009E39B2"/>
    <w:rsid w:val="009E3F8C"/>
    <w:rsid w:val="009E40CE"/>
    <w:rsid w:val="009E41CB"/>
    <w:rsid w:val="009E45FF"/>
    <w:rsid w:val="009E480B"/>
    <w:rsid w:val="009E4991"/>
    <w:rsid w:val="009E513E"/>
    <w:rsid w:val="009E567E"/>
    <w:rsid w:val="009E5AB6"/>
    <w:rsid w:val="009E5D1C"/>
    <w:rsid w:val="009E61C6"/>
    <w:rsid w:val="009E6234"/>
    <w:rsid w:val="009E6BE9"/>
    <w:rsid w:val="009E6D93"/>
    <w:rsid w:val="009E6EAE"/>
    <w:rsid w:val="009E6F10"/>
    <w:rsid w:val="009E708B"/>
    <w:rsid w:val="009E75E2"/>
    <w:rsid w:val="009E7E37"/>
    <w:rsid w:val="009F0615"/>
    <w:rsid w:val="009F09DD"/>
    <w:rsid w:val="009F0C66"/>
    <w:rsid w:val="009F1131"/>
    <w:rsid w:val="009F13C5"/>
    <w:rsid w:val="009F2A28"/>
    <w:rsid w:val="009F2A37"/>
    <w:rsid w:val="009F2CB9"/>
    <w:rsid w:val="009F3133"/>
    <w:rsid w:val="009F313A"/>
    <w:rsid w:val="009F31E7"/>
    <w:rsid w:val="009F3AF0"/>
    <w:rsid w:val="009F3AF1"/>
    <w:rsid w:val="009F3DA2"/>
    <w:rsid w:val="009F3E3D"/>
    <w:rsid w:val="009F4529"/>
    <w:rsid w:val="009F5489"/>
    <w:rsid w:val="009F57A1"/>
    <w:rsid w:val="009F5A82"/>
    <w:rsid w:val="009F5D3A"/>
    <w:rsid w:val="009F5EF1"/>
    <w:rsid w:val="009F661F"/>
    <w:rsid w:val="009F69C1"/>
    <w:rsid w:val="009F7381"/>
    <w:rsid w:val="00A000B6"/>
    <w:rsid w:val="00A0013D"/>
    <w:rsid w:val="00A00B83"/>
    <w:rsid w:val="00A00CF6"/>
    <w:rsid w:val="00A00EAF"/>
    <w:rsid w:val="00A014DA"/>
    <w:rsid w:val="00A02364"/>
    <w:rsid w:val="00A024D1"/>
    <w:rsid w:val="00A0285A"/>
    <w:rsid w:val="00A02D7D"/>
    <w:rsid w:val="00A03361"/>
    <w:rsid w:val="00A035E3"/>
    <w:rsid w:val="00A03677"/>
    <w:rsid w:val="00A04390"/>
    <w:rsid w:val="00A048D1"/>
    <w:rsid w:val="00A04CAB"/>
    <w:rsid w:val="00A04DD8"/>
    <w:rsid w:val="00A04F30"/>
    <w:rsid w:val="00A04F89"/>
    <w:rsid w:val="00A0547D"/>
    <w:rsid w:val="00A0568D"/>
    <w:rsid w:val="00A0594D"/>
    <w:rsid w:val="00A05C5D"/>
    <w:rsid w:val="00A05EC1"/>
    <w:rsid w:val="00A068BF"/>
    <w:rsid w:val="00A071FE"/>
    <w:rsid w:val="00A07B0F"/>
    <w:rsid w:val="00A07BD3"/>
    <w:rsid w:val="00A07E99"/>
    <w:rsid w:val="00A10502"/>
    <w:rsid w:val="00A107C0"/>
    <w:rsid w:val="00A10B6C"/>
    <w:rsid w:val="00A110B5"/>
    <w:rsid w:val="00A112E3"/>
    <w:rsid w:val="00A113A5"/>
    <w:rsid w:val="00A1162D"/>
    <w:rsid w:val="00A117F5"/>
    <w:rsid w:val="00A11A06"/>
    <w:rsid w:val="00A11ADF"/>
    <w:rsid w:val="00A123F8"/>
    <w:rsid w:val="00A12657"/>
    <w:rsid w:val="00A12F94"/>
    <w:rsid w:val="00A13DC5"/>
    <w:rsid w:val="00A13F5D"/>
    <w:rsid w:val="00A13F82"/>
    <w:rsid w:val="00A14686"/>
    <w:rsid w:val="00A15013"/>
    <w:rsid w:val="00A1515A"/>
    <w:rsid w:val="00A15EED"/>
    <w:rsid w:val="00A161B1"/>
    <w:rsid w:val="00A16340"/>
    <w:rsid w:val="00A163FA"/>
    <w:rsid w:val="00A164BC"/>
    <w:rsid w:val="00A165E0"/>
    <w:rsid w:val="00A16670"/>
    <w:rsid w:val="00A167E2"/>
    <w:rsid w:val="00A16BDD"/>
    <w:rsid w:val="00A17B1A"/>
    <w:rsid w:val="00A17FAE"/>
    <w:rsid w:val="00A20E59"/>
    <w:rsid w:val="00A20E5E"/>
    <w:rsid w:val="00A20F42"/>
    <w:rsid w:val="00A2109E"/>
    <w:rsid w:val="00A2146D"/>
    <w:rsid w:val="00A21BDA"/>
    <w:rsid w:val="00A2276A"/>
    <w:rsid w:val="00A232C7"/>
    <w:rsid w:val="00A23607"/>
    <w:rsid w:val="00A23BFB"/>
    <w:rsid w:val="00A23D7D"/>
    <w:rsid w:val="00A23E40"/>
    <w:rsid w:val="00A23EB4"/>
    <w:rsid w:val="00A23F85"/>
    <w:rsid w:val="00A2417D"/>
    <w:rsid w:val="00A25250"/>
    <w:rsid w:val="00A25432"/>
    <w:rsid w:val="00A25523"/>
    <w:rsid w:val="00A2559C"/>
    <w:rsid w:val="00A2565E"/>
    <w:rsid w:val="00A25C54"/>
    <w:rsid w:val="00A26319"/>
    <w:rsid w:val="00A265C6"/>
    <w:rsid w:val="00A26C07"/>
    <w:rsid w:val="00A27336"/>
    <w:rsid w:val="00A2755D"/>
    <w:rsid w:val="00A3032B"/>
    <w:rsid w:val="00A3045B"/>
    <w:rsid w:val="00A30AFD"/>
    <w:rsid w:val="00A310A8"/>
    <w:rsid w:val="00A313BA"/>
    <w:rsid w:val="00A316ED"/>
    <w:rsid w:val="00A3190F"/>
    <w:rsid w:val="00A31B48"/>
    <w:rsid w:val="00A32297"/>
    <w:rsid w:val="00A32597"/>
    <w:rsid w:val="00A3283E"/>
    <w:rsid w:val="00A32D70"/>
    <w:rsid w:val="00A32FB5"/>
    <w:rsid w:val="00A331CF"/>
    <w:rsid w:val="00A33633"/>
    <w:rsid w:val="00A336DD"/>
    <w:rsid w:val="00A3375E"/>
    <w:rsid w:val="00A340D4"/>
    <w:rsid w:val="00A343D2"/>
    <w:rsid w:val="00A344C3"/>
    <w:rsid w:val="00A34697"/>
    <w:rsid w:val="00A34D34"/>
    <w:rsid w:val="00A3520F"/>
    <w:rsid w:val="00A354C4"/>
    <w:rsid w:val="00A3568B"/>
    <w:rsid w:val="00A35EFF"/>
    <w:rsid w:val="00A35F42"/>
    <w:rsid w:val="00A3675A"/>
    <w:rsid w:val="00A369BD"/>
    <w:rsid w:val="00A36BD9"/>
    <w:rsid w:val="00A36DAA"/>
    <w:rsid w:val="00A374D6"/>
    <w:rsid w:val="00A376E3"/>
    <w:rsid w:val="00A37C7C"/>
    <w:rsid w:val="00A40072"/>
    <w:rsid w:val="00A4025A"/>
    <w:rsid w:val="00A4047E"/>
    <w:rsid w:val="00A40E4C"/>
    <w:rsid w:val="00A40F0D"/>
    <w:rsid w:val="00A41151"/>
    <w:rsid w:val="00A41C04"/>
    <w:rsid w:val="00A421A7"/>
    <w:rsid w:val="00A42255"/>
    <w:rsid w:val="00A42EEF"/>
    <w:rsid w:val="00A432AF"/>
    <w:rsid w:val="00A43791"/>
    <w:rsid w:val="00A43F38"/>
    <w:rsid w:val="00A44BFD"/>
    <w:rsid w:val="00A45383"/>
    <w:rsid w:val="00A458D2"/>
    <w:rsid w:val="00A45F60"/>
    <w:rsid w:val="00A46120"/>
    <w:rsid w:val="00A463A9"/>
    <w:rsid w:val="00A46B9F"/>
    <w:rsid w:val="00A47D82"/>
    <w:rsid w:val="00A501EB"/>
    <w:rsid w:val="00A50D55"/>
    <w:rsid w:val="00A51495"/>
    <w:rsid w:val="00A51864"/>
    <w:rsid w:val="00A52054"/>
    <w:rsid w:val="00A52558"/>
    <w:rsid w:val="00A5312A"/>
    <w:rsid w:val="00A547E9"/>
    <w:rsid w:val="00A54875"/>
    <w:rsid w:val="00A54C35"/>
    <w:rsid w:val="00A54CA6"/>
    <w:rsid w:val="00A54E60"/>
    <w:rsid w:val="00A54F60"/>
    <w:rsid w:val="00A552FB"/>
    <w:rsid w:val="00A5571E"/>
    <w:rsid w:val="00A55A29"/>
    <w:rsid w:val="00A55F84"/>
    <w:rsid w:val="00A55FDF"/>
    <w:rsid w:val="00A56619"/>
    <w:rsid w:val="00A569E7"/>
    <w:rsid w:val="00A56E80"/>
    <w:rsid w:val="00A56EF5"/>
    <w:rsid w:val="00A57059"/>
    <w:rsid w:val="00A5763B"/>
    <w:rsid w:val="00A577DE"/>
    <w:rsid w:val="00A579A8"/>
    <w:rsid w:val="00A57F44"/>
    <w:rsid w:val="00A6020E"/>
    <w:rsid w:val="00A603B3"/>
    <w:rsid w:val="00A609D4"/>
    <w:rsid w:val="00A61064"/>
    <w:rsid w:val="00A61822"/>
    <w:rsid w:val="00A619DE"/>
    <w:rsid w:val="00A62090"/>
    <w:rsid w:val="00A62569"/>
    <w:rsid w:val="00A62D93"/>
    <w:rsid w:val="00A6348D"/>
    <w:rsid w:val="00A6423B"/>
    <w:rsid w:val="00A64496"/>
    <w:rsid w:val="00A64A89"/>
    <w:rsid w:val="00A654C2"/>
    <w:rsid w:val="00A6595E"/>
    <w:rsid w:val="00A65C66"/>
    <w:rsid w:val="00A6641F"/>
    <w:rsid w:val="00A66A26"/>
    <w:rsid w:val="00A66D68"/>
    <w:rsid w:val="00A67B43"/>
    <w:rsid w:val="00A70050"/>
    <w:rsid w:val="00A7030B"/>
    <w:rsid w:val="00A70574"/>
    <w:rsid w:val="00A7062D"/>
    <w:rsid w:val="00A710CD"/>
    <w:rsid w:val="00A713F4"/>
    <w:rsid w:val="00A714DD"/>
    <w:rsid w:val="00A72E7A"/>
    <w:rsid w:val="00A73017"/>
    <w:rsid w:val="00A73088"/>
    <w:rsid w:val="00A73B01"/>
    <w:rsid w:val="00A73BB0"/>
    <w:rsid w:val="00A744DB"/>
    <w:rsid w:val="00A7459C"/>
    <w:rsid w:val="00A7473E"/>
    <w:rsid w:val="00A749D1"/>
    <w:rsid w:val="00A74D34"/>
    <w:rsid w:val="00A74EEC"/>
    <w:rsid w:val="00A7500E"/>
    <w:rsid w:val="00A753F0"/>
    <w:rsid w:val="00A755DB"/>
    <w:rsid w:val="00A758C6"/>
    <w:rsid w:val="00A760FD"/>
    <w:rsid w:val="00A76C0F"/>
    <w:rsid w:val="00A76EFF"/>
    <w:rsid w:val="00A7785E"/>
    <w:rsid w:val="00A77A80"/>
    <w:rsid w:val="00A77DAA"/>
    <w:rsid w:val="00A80006"/>
    <w:rsid w:val="00A801B8"/>
    <w:rsid w:val="00A802E9"/>
    <w:rsid w:val="00A80A25"/>
    <w:rsid w:val="00A80C94"/>
    <w:rsid w:val="00A80F28"/>
    <w:rsid w:val="00A81A11"/>
    <w:rsid w:val="00A822B7"/>
    <w:rsid w:val="00A82372"/>
    <w:rsid w:val="00A82A9A"/>
    <w:rsid w:val="00A83410"/>
    <w:rsid w:val="00A83603"/>
    <w:rsid w:val="00A83C5F"/>
    <w:rsid w:val="00A84213"/>
    <w:rsid w:val="00A84948"/>
    <w:rsid w:val="00A856F0"/>
    <w:rsid w:val="00A858EE"/>
    <w:rsid w:val="00A90746"/>
    <w:rsid w:val="00A907BD"/>
    <w:rsid w:val="00A909F7"/>
    <w:rsid w:val="00A90E4F"/>
    <w:rsid w:val="00A90EE1"/>
    <w:rsid w:val="00A916BA"/>
    <w:rsid w:val="00A9184C"/>
    <w:rsid w:val="00A91E34"/>
    <w:rsid w:val="00A9208F"/>
    <w:rsid w:val="00A9211B"/>
    <w:rsid w:val="00A925DF"/>
    <w:rsid w:val="00A929F8"/>
    <w:rsid w:val="00A92B6F"/>
    <w:rsid w:val="00A92F69"/>
    <w:rsid w:val="00A92FAC"/>
    <w:rsid w:val="00A93CA2"/>
    <w:rsid w:val="00A93ED4"/>
    <w:rsid w:val="00A9501F"/>
    <w:rsid w:val="00A95104"/>
    <w:rsid w:val="00A9574E"/>
    <w:rsid w:val="00A95927"/>
    <w:rsid w:val="00A971C1"/>
    <w:rsid w:val="00A975E8"/>
    <w:rsid w:val="00A97898"/>
    <w:rsid w:val="00A97AAF"/>
    <w:rsid w:val="00AA0559"/>
    <w:rsid w:val="00AA0C23"/>
    <w:rsid w:val="00AA0DCA"/>
    <w:rsid w:val="00AA0F13"/>
    <w:rsid w:val="00AA0FA3"/>
    <w:rsid w:val="00AA1A5B"/>
    <w:rsid w:val="00AA1C24"/>
    <w:rsid w:val="00AA1E48"/>
    <w:rsid w:val="00AA2711"/>
    <w:rsid w:val="00AA3379"/>
    <w:rsid w:val="00AA35F2"/>
    <w:rsid w:val="00AA3BF4"/>
    <w:rsid w:val="00AA418C"/>
    <w:rsid w:val="00AA56EB"/>
    <w:rsid w:val="00AA5968"/>
    <w:rsid w:val="00AA670D"/>
    <w:rsid w:val="00AA670F"/>
    <w:rsid w:val="00AA680C"/>
    <w:rsid w:val="00AA70B2"/>
    <w:rsid w:val="00AA7487"/>
    <w:rsid w:val="00AA74E5"/>
    <w:rsid w:val="00AA7545"/>
    <w:rsid w:val="00AA783B"/>
    <w:rsid w:val="00AA78CB"/>
    <w:rsid w:val="00AB00A9"/>
    <w:rsid w:val="00AB00FE"/>
    <w:rsid w:val="00AB08C0"/>
    <w:rsid w:val="00AB097D"/>
    <w:rsid w:val="00AB0B56"/>
    <w:rsid w:val="00AB0DF8"/>
    <w:rsid w:val="00AB14DC"/>
    <w:rsid w:val="00AB1791"/>
    <w:rsid w:val="00AB1A58"/>
    <w:rsid w:val="00AB1BA3"/>
    <w:rsid w:val="00AB1FC7"/>
    <w:rsid w:val="00AB24C4"/>
    <w:rsid w:val="00AB2C49"/>
    <w:rsid w:val="00AB2D7B"/>
    <w:rsid w:val="00AB3E16"/>
    <w:rsid w:val="00AB3E4D"/>
    <w:rsid w:val="00AB41C9"/>
    <w:rsid w:val="00AB42B8"/>
    <w:rsid w:val="00AB441A"/>
    <w:rsid w:val="00AB4939"/>
    <w:rsid w:val="00AB4B67"/>
    <w:rsid w:val="00AB55A4"/>
    <w:rsid w:val="00AB55C5"/>
    <w:rsid w:val="00AB5B34"/>
    <w:rsid w:val="00AB7FC0"/>
    <w:rsid w:val="00AC0056"/>
    <w:rsid w:val="00AC00DB"/>
    <w:rsid w:val="00AC0305"/>
    <w:rsid w:val="00AC0B65"/>
    <w:rsid w:val="00AC0BDB"/>
    <w:rsid w:val="00AC151C"/>
    <w:rsid w:val="00AC1ADE"/>
    <w:rsid w:val="00AC1D8C"/>
    <w:rsid w:val="00AC219E"/>
    <w:rsid w:val="00AC2409"/>
    <w:rsid w:val="00AC2C88"/>
    <w:rsid w:val="00AC3082"/>
    <w:rsid w:val="00AC35FE"/>
    <w:rsid w:val="00AC38BD"/>
    <w:rsid w:val="00AC3BAD"/>
    <w:rsid w:val="00AC3BF9"/>
    <w:rsid w:val="00AC3C25"/>
    <w:rsid w:val="00AC3C6A"/>
    <w:rsid w:val="00AC3CCB"/>
    <w:rsid w:val="00AC3E63"/>
    <w:rsid w:val="00AC3F8C"/>
    <w:rsid w:val="00AC404E"/>
    <w:rsid w:val="00AC43C2"/>
    <w:rsid w:val="00AC4D3E"/>
    <w:rsid w:val="00AC4F35"/>
    <w:rsid w:val="00AC5538"/>
    <w:rsid w:val="00AC5876"/>
    <w:rsid w:val="00AC588C"/>
    <w:rsid w:val="00AC5A3E"/>
    <w:rsid w:val="00AC63C2"/>
    <w:rsid w:val="00AC6961"/>
    <w:rsid w:val="00AC698E"/>
    <w:rsid w:val="00AC6F82"/>
    <w:rsid w:val="00AC75BC"/>
    <w:rsid w:val="00AC7720"/>
    <w:rsid w:val="00AC799F"/>
    <w:rsid w:val="00AC7D15"/>
    <w:rsid w:val="00AD03BD"/>
    <w:rsid w:val="00AD062D"/>
    <w:rsid w:val="00AD0B02"/>
    <w:rsid w:val="00AD1027"/>
    <w:rsid w:val="00AD115C"/>
    <w:rsid w:val="00AD1831"/>
    <w:rsid w:val="00AD1CC1"/>
    <w:rsid w:val="00AD1D31"/>
    <w:rsid w:val="00AD1E7F"/>
    <w:rsid w:val="00AD1FA7"/>
    <w:rsid w:val="00AD2089"/>
    <w:rsid w:val="00AD2825"/>
    <w:rsid w:val="00AD2D99"/>
    <w:rsid w:val="00AD305A"/>
    <w:rsid w:val="00AD34D8"/>
    <w:rsid w:val="00AD3761"/>
    <w:rsid w:val="00AD3CC1"/>
    <w:rsid w:val="00AD413D"/>
    <w:rsid w:val="00AD4D29"/>
    <w:rsid w:val="00AD545E"/>
    <w:rsid w:val="00AD54B9"/>
    <w:rsid w:val="00AD5546"/>
    <w:rsid w:val="00AD5673"/>
    <w:rsid w:val="00AD5696"/>
    <w:rsid w:val="00AD5ED2"/>
    <w:rsid w:val="00AD6166"/>
    <w:rsid w:val="00AD65EE"/>
    <w:rsid w:val="00AD67FF"/>
    <w:rsid w:val="00AD6DB3"/>
    <w:rsid w:val="00AD6DE7"/>
    <w:rsid w:val="00AD718A"/>
    <w:rsid w:val="00AD765E"/>
    <w:rsid w:val="00AD7B42"/>
    <w:rsid w:val="00AD7BAA"/>
    <w:rsid w:val="00AE00C7"/>
    <w:rsid w:val="00AE0130"/>
    <w:rsid w:val="00AE0A83"/>
    <w:rsid w:val="00AE0AC7"/>
    <w:rsid w:val="00AE0CEA"/>
    <w:rsid w:val="00AE14E8"/>
    <w:rsid w:val="00AE16BD"/>
    <w:rsid w:val="00AE1742"/>
    <w:rsid w:val="00AE1808"/>
    <w:rsid w:val="00AE1828"/>
    <w:rsid w:val="00AE1AFB"/>
    <w:rsid w:val="00AE1F59"/>
    <w:rsid w:val="00AE2589"/>
    <w:rsid w:val="00AE2D45"/>
    <w:rsid w:val="00AE2EF4"/>
    <w:rsid w:val="00AE366B"/>
    <w:rsid w:val="00AE39C5"/>
    <w:rsid w:val="00AE3C32"/>
    <w:rsid w:val="00AE41AB"/>
    <w:rsid w:val="00AE4342"/>
    <w:rsid w:val="00AE43FB"/>
    <w:rsid w:val="00AE475B"/>
    <w:rsid w:val="00AE4CF0"/>
    <w:rsid w:val="00AE4FF7"/>
    <w:rsid w:val="00AE51CC"/>
    <w:rsid w:val="00AE51E2"/>
    <w:rsid w:val="00AE54A3"/>
    <w:rsid w:val="00AE5659"/>
    <w:rsid w:val="00AE5A3C"/>
    <w:rsid w:val="00AE5D4D"/>
    <w:rsid w:val="00AE6117"/>
    <w:rsid w:val="00AE6319"/>
    <w:rsid w:val="00AE6948"/>
    <w:rsid w:val="00AE6968"/>
    <w:rsid w:val="00AE6D11"/>
    <w:rsid w:val="00AE6F66"/>
    <w:rsid w:val="00AF0846"/>
    <w:rsid w:val="00AF0B09"/>
    <w:rsid w:val="00AF108E"/>
    <w:rsid w:val="00AF12D3"/>
    <w:rsid w:val="00AF1451"/>
    <w:rsid w:val="00AF23E1"/>
    <w:rsid w:val="00AF2877"/>
    <w:rsid w:val="00AF2E24"/>
    <w:rsid w:val="00AF38F0"/>
    <w:rsid w:val="00AF45F9"/>
    <w:rsid w:val="00AF4628"/>
    <w:rsid w:val="00AF4C63"/>
    <w:rsid w:val="00AF570F"/>
    <w:rsid w:val="00AF5F6E"/>
    <w:rsid w:val="00AF62C4"/>
    <w:rsid w:val="00AF66FD"/>
    <w:rsid w:val="00AF6B31"/>
    <w:rsid w:val="00AF6BB8"/>
    <w:rsid w:val="00AF7100"/>
    <w:rsid w:val="00AF7125"/>
    <w:rsid w:val="00AF7209"/>
    <w:rsid w:val="00AF7360"/>
    <w:rsid w:val="00B00392"/>
    <w:rsid w:val="00B00622"/>
    <w:rsid w:val="00B00734"/>
    <w:rsid w:val="00B014AA"/>
    <w:rsid w:val="00B01768"/>
    <w:rsid w:val="00B01A3A"/>
    <w:rsid w:val="00B01F3C"/>
    <w:rsid w:val="00B0221A"/>
    <w:rsid w:val="00B02639"/>
    <w:rsid w:val="00B02677"/>
    <w:rsid w:val="00B02789"/>
    <w:rsid w:val="00B0280C"/>
    <w:rsid w:val="00B02C22"/>
    <w:rsid w:val="00B02C38"/>
    <w:rsid w:val="00B03487"/>
    <w:rsid w:val="00B03657"/>
    <w:rsid w:val="00B03D48"/>
    <w:rsid w:val="00B04982"/>
    <w:rsid w:val="00B05330"/>
    <w:rsid w:val="00B053A6"/>
    <w:rsid w:val="00B0551A"/>
    <w:rsid w:val="00B05AC1"/>
    <w:rsid w:val="00B05B50"/>
    <w:rsid w:val="00B06449"/>
    <w:rsid w:val="00B06A77"/>
    <w:rsid w:val="00B06A98"/>
    <w:rsid w:val="00B06E25"/>
    <w:rsid w:val="00B0709D"/>
    <w:rsid w:val="00B071A4"/>
    <w:rsid w:val="00B07449"/>
    <w:rsid w:val="00B07474"/>
    <w:rsid w:val="00B10A27"/>
    <w:rsid w:val="00B10A51"/>
    <w:rsid w:val="00B10BF5"/>
    <w:rsid w:val="00B10DE6"/>
    <w:rsid w:val="00B111F0"/>
    <w:rsid w:val="00B1166B"/>
    <w:rsid w:val="00B1176F"/>
    <w:rsid w:val="00B1179E"/>
    <w:rsid w:val="00B11A45"/>
    <w:rsid w:val="00B11D4A"/>
    <w:rsid w:val="00B124AA"/>
    <w:rsid w:val="00B12587"/>
    <w:rsid w:val="00B1293D"/>
    <w:rsid w:val="00B12A40"/>
    <w:rsid w:val="00B13063"/>
    <w:rsid w:val="00B13154"/>
    <w:rsid w:val="00B1316A"/>
    <w:rsid w:val="00B13511"/>
    <w:rsid w:val="00B13979"/>
    <w:rsid w:val="00B13D93"/>
    <w:rsid w:val="00B14025"/>
    <w:rsid w:val="00B14585"/>
    <w:rsid w:val="00B145BA"/>
    <w:rsid w:val="00B14CD6"/>
    <w:rsid w:val="00B14DD9"/>
    <w:rsid w:val="00B151BD"/>
    <w:rsid w:val="00B1536E"/>
    <w:rsid w:val="00B158DF"/>
    <w:rsid w:val="00B15C12"/>
    <w:rsid w:val="00B15F65"/>
    <w:rsid w:val="00B15FA9"/>
    <w:rsid w:val="00B1654A"/>
    <w:rsid w:val="00B16C24"/>
    <w:rsid w:val="00B2159D"/>
    <w:rsid w:val="00B21F72"/>
    <w:rsid w:val="00B22535"/>
    <w:rsid w:val="00B229F1"/>
    <w:rsid w:val="00B22A82"/>
    <w:rsid w:val="00B22AC7"/>
    <w:rsid w:val="00B22BC9"/>
    <w:rsid w:val="00B22D88"/>
    <w:rsid w:val="00B22E11"/>
    <w:rsid w:val="00B23370"/>
    <w:rsid w:val="00B23A92"/>
    <w:rsid w:val="00B23B24"/>
    <w:rsid w:val="00B23DA2"/>
    <w:rsid w:val="00B240D9"/>
    <w:rsid w:val="00B24239"/>
    <w:rsid w:val="00B242B7"/>
    <w:rsid w:val="00B248A3"/>
    <w:rsid w:val="00B249EC"/>
    <w:rsid w:val="00B24A0A"/>
    <w:rsid w:val="00B24DF7"/>
    <w:rsid w:val="00B25630"/>
    <w:rsid w:val="00B257F0"/>
    <w:rsid w:val="00B262D7"/>
    <w:rsid w:val="00B270C4"/>
    <w:rsid w:val="00B2794F"/>
    <w:rsid w:val="00B27A8F"/>
    <w:rsid w:val="00B27BFA"/>
    <w:rsid w:val="00B27C9C"/>
    <w:rsid w:val="00B27F07"/>
    <w:rsid w:val="00B27F73"/>
    <w:rsid w:val="00B3173C"/>
    <w:rsid w:val="00B31801"/>
    <w:rsid w:val="00B3236E"/>
    <w:rsid w:val="00B32919"/>
    <w:rsid w:val="00B32A9F"/>
    <w:rsid w:val="00B32CE6"/>
    <w:rsid w:val="00B33106"/>
    <w:rsid w:val="00B336B1"/>
    <w:rsid w:val="00B33978"/>
    <w:rsid w:val="00B3399C"/>
    <w:rsid w:val="00B33E2A"/>
    <w:rsid w:val="00B3414B"/>
    <w:rsid w:val="00B34270"/>
    <w:rsid w:val="00B34A18"/>
    <w:rsid w:val="00B355E5"/>
    <w:rsid w:val="00B35BC8"/>
    <w:rsid w:val="00B36747"/>
    <w:rsid w:val="00B36B67"/>
    <w:rsid w:val="00B36D31"/>
    <w:rsid w:val="00B370B1"/>
    <w:rsid w:val="00B373BC"/>
    <w:rsid w:val="00B37A98"/>
    <w:rsid w:val="00B37DEC"/>
    <w:rsid w:val="00B400A9"/>
    <w:rsid w:val="00B4015E"/>
    <w:rsid w:val="00B4035D"/>
    <w:rsid w:val="00B407B9"/>
    <w:rsid w:val="00B41288"/>
    <w:rsid w:val="00B416B7"/>
    <w:rsid w:val="00B4175F"/>
    <w:rsid w:val="00B4201A"/>
    <w:rsid w:val="00B42AE2"/>
    <w:rsid w:val="00B42BEC"/>
    <w:rsid w:val="00B42CD9"/>
    <w:rsid w:val="00B43092"/>
    <w:rsid w:val="00B43710"/>
    <w:rsid w:val="00B438EB"/>
    <w:rsid w:val="00B43B65"/>
    <w:rsid w:val="00B43DB8"/>
    <w:rsid w:val="00B4449C"/>
    <w:rsid w:val="00B449F7"/>
    <w:rsid w:val="00B44BB3"/>
    <w:rsid w:val="00B45190"/>
    <w:rsid w:val="00B456FD"/>
    <w:rsid w:val="00B459E6"/>
    <w:rsid w:val="00B45B0F"/>
    <w:rsid w:val="00B45DBB"/>
    <w:rsid w:val="00B460BF"/>
    <w:rsid w:val="00B46A58"/>
    <w:rsid w:val="00B46C15"/>
    <w:rsid w:val="00B471AE"/>
    <w:rsid w:val="00B47316"/>
    <w:rsid w:val="00B47BA0"/>
    <w:rsid w:val="00B50DEF"/>
    <w:rsid w:val="00B50F78"/>
    <w:rsid w:val="00B51A21"/>
    <w:rsid w:val="00B5235F"/>
    <w:rsid w:val="00B523C0"/>
    <w:rsid w:val="00B52555"/>
    <w:rsid w:val="00B52B4B"/>
    <w:rsid w:val="00B52C25"/>
    <w:rsid w:val="00B52EF4"/>
    <w:rsid w:val="00B535F0"/>
    <w:rsid w:val="00B53A3D"/>
    <w:rsid w:val="00B53AD7"/>
    <w:rsid w:val="00B53C50"/>
    <w:rsid w:val="00B542F3"/>
    <w:rsid w:val="00B542FB"/>
    <w:rsid w:val="00B543A7"/>
    <w:rsid w:val="00B543D1"/>
    <w:rsid w:val="00B54672"/>
    <w:rsid w:val="00B547B6"/>
    <w:rsid w:val="00B549CE"/>
    <w:rsid w:val="00B54B9B"/>
    <w:rsid w:val="00B5505F"/>
    <w:rsid w:val="00B55BF8"/>
    <w:rsid w:val="00B56192"/>
    <w:rsid w:val="00B56457"/>
    <w:rsid w:val="00B564FE"/>
    <w:rsid w:val="00B5670D"/>
    <w:rsid w:val="00B56748"/>
    <w:rsid w:val="00B56B9E"/>
    <w:rsid w:val="00B57147"/>
    <w:rsid w:val="00B57761"/>
    <w:rsid w:val="00B57904"/>
    <w:rsid w:val="00B579C9"/>
    <w:rsid w:val="00B57E62"/>
    <w:rsid w:val="00B60890"/>
    <w:rsid w:val="00B6093A"/>
    <w:rsid w:val="00B60FC9"/>
    <w:rsid w:val="00B61757"/>
    <w:rsid w:val="00B61ADF"/>
    <w:rsid w:val="00B61DC6"/>
    <w:rsid w:val="00B6282D"/>
    <w:rsid w:val="00B632D2"/>
    <w:rsid w:val="00B632F2"/>
    <w:rsid w:val="00B63710"/>
    <w:rsid w:val="00B63E5F"/>
    <w:rsid w:val="00B64A9B"/>
    <w:rsid w:val="00B6560A"/>
    <w:rsid w:val="00B656EC"/>
    <w:rsid w:val="00B65E6B"/>
    <w:rsid w:val="00B66165"/>
    <w:rsid w:val="00B66DC7"/>
    <w:rsid w:val="00B67C63"/>
    <w:rsid w:val="00B702D0"/>
    <w:rsid w:val="00B70610"/>
    <w:rsid w:val="00B706BF"/>
    <w:rsid w:val="00B7076F"/>
    <w:rsid w:val="00B70A22"/>
    <w:rsid w:val="00B70B72"/>
    <w:rsid w:val="00B7171D"/>
    <w:rsid w:val="00B720C5"/>
    <w:rsid w:val="00B72149"/>
    <w:rsid w:val="00B72E03"/>
    <w:rsid w:val="00B73383"/>
    <w:rsid w:val="00B74559"/>
    <w:rsid w:val="00B74862"/>
    <w:rsid w:val="00B748FB"/>
    <w:rsid w:val="00B74C60"/>
    <w:rsid w:val="00B74DAA"/>
    <w:rsid w:val="00B76AD5"/>
    <w:rsid w:val="00B80307"/>
    <w:rsid w:val="00B80DB4"/>
    <w:rsid w:val="00B8147B"/>
    <w:rsid w:val="00B82B31"/>
    <w:rsid w:val="00B82BEE"/>
    <w:rsid w:val="00B82C19"/>
    <w:rsid w:val="00B82DB0"/>
    <w:rsid w:val="00B83D1F"/>
    <w:rsid w:val="00B83E3A"/>
    <w:rsid w:val="00B847D5"/>
    <w:rsid w:val="00B84998"/>
    <w:rsid w:val="00B84FA3"/>
    <w:rsid w:val="00B85374"/>
    <w:rsid w:val="00B85CFB"/>
    <w:rsid w:val="00B85FEE"/>
    <w:rsid w:val="00B862BE"/>
    <w:rsid w:val="00B86306"/>
    <w:rsid w:val="00B870A2"/>
    <w:rsid w:val="00B8738C"/>
    <w:rsid w:val="00B87739"/>
    <w:rsid w:val="00B87DAE"/>
    <w:rsid w:val="00B9029C"/>
    <w:rsid w:val="00B90F0B"/>
    <w:rsid w:val="00B91924"/>
    <w:rsid w:val="00B920F7"/>
    <w:rsid w:val="00B925BD"/>
    <w:rsid w:val="00B9275C"/>
    <w:rsid w:val="00B92813"/>
    <w:rsid w:val="00B92F69"/>
    <w:rsid w:val="00B93DA3"/>
    <w:rsid w:val="00B94951"/>
    <w:rsid w:val="00B94B15"/>
    <w:rsid w:val="00B94C59"/>
    <w:rsid w:val="00B950AD"/>
    <w:rsid w:val="00B953D4"/>
    <w:rsid w:val="00B95408"/>
    <w:rsid w:val="00B961A1"/>
    <w:rsid w:val="00B964E0"/>
    <w:rsid w:val="00B9676C"/>
    <w:rsid w:val="00B96981"/>
    <w:rsid w:val="00B96CF9"/>
    <w:rsid w:val="00B97026"/>
    <w:rsid w:val="00B97BC2"/>
    <w:rsid w:val="00B97E68"/>
    <w:rsid w:val="00BA0264"/>
    <w:rsid w:val="00BA06A0"/>
    <w:rsid w:val="00BA1781"/>
    <w:rsid w:val="00BA183A"/>
    <w:rsid w:val="00BA1E64"/>
    <w:rsid w:val="00BA21AA"/>
    <w:rsid w:val="00BA26B4"/>
    <w:rsid w:val="00BA2977"/>
    <w:rsid w:val="00BA2AB0"/>
    <w:rsid w:val="00BA2B00"/>
    <w:rsid w:val="00BA3519"/>
    <w:rsid w:val="00BA3561"/>
    <w:rsid w:val="00BA3A18"/>
    <w:rsid w:val="00BA3EA9"/>
    <w:rsid w:val="00BA475A"/>
    <w:rsid w:val="00BA47C4"/>
    <w:rsid w:val="00BA4CB5"/>
    <w:rsid w:val="00BA4CEF"/>
    <w:rsid w:val="00BA4E88"/>
    <w:rsid w:val="00BA4F0C"/>
    <w:rsid w:val="00BA5694"/>
    <w:rsid w:val="00BA57D2"/>
    <w:rsid w:val="00BA58B6"/>
    <w:rsid w:val="00BA5B11"/>
    <w:rsid w:val="00BA5CF2"/>
    <w:rsid w:val="00BA5FF1"/>
    <w:rsid w:val="00BA65A1"/>
    <w:rsid w:val="00BA65E6"/>
    <w:rsid w:val="00BA6AB7"/>
    <w:rsid w:val="00BA7126"/>
    <w:rsid w:val="00BA7334"/>
    <w:rsid w:val="00BA77EF"/>
    <w:rsid w:val="00BA7C9A"/>
    <w:rsid w:val="00BB0019"/>
    <w:rsid w:val="00BB01E7"/>
    <w:rsid w:val="00BB09CC"/>
    <w:rsid w:val="00BB0CA9"/>
    <w:rsid w:val="00BB104B"/>
    <w:rsid w:val="00BB1355"/>
    <w:rsid w:val="00BB1489"/>
    <w:rsid w:val="00BB1B96"/>
    <w:rsid w:val="00BB2195"/>
    <w:rsid w:val="00BB30F1"/>
    <w:rsid w:val="00BB37D0"/>
    <w:rsid w:val="00BB3916"/>
    <w:rsid w:val="00BB447A"/>
    <w:rsid w:val="00BB4613"/>
    <w:rsid w:val="00BB491B"/>
    <w:rsid w:val="00BB4C23"/>
    <w:rsid w:val="00BB556B"/>
    <w:rsid w:val="00BB5634"/>
    <w:rsid w:val="00BB57AA"/>
    <w:rsid w:val="00BB686A"/>
    <w:rsid w:val="00BB7A97"/>
    <w:rsid w:val="00BB7ACE"/>
    <w:rsid w:val="00BB7B61"/>
    <w:rsid w:val="00BB7C02"/>
    <w:rsid w:val="00BB7E0D"/>
    <w:rsid w:val="00BB7EDC"/>
    <w:rsid w:val="00BC02CA"/>
    <w:rsid w:val="00BC0352"/>
    <w:rsid w:val="00BC0A22"/>
    <w:rsid w:val="00BC11BC"/>
    <w:rsid w:val="00BC120D"/>
    <w:rsid w:val="00BC1CF7"/>
    <w:rsid w:val="00BC1F92"/>
    <w:rsid w:val="00BC20E0"/>
    <w:rsid w:val="00BC2276"/>
    <w:rsid w:val="00BC3193"/>
    <w:rsid w:val="00BC369C"/>
    <w:rsid w:val="00BC38C1"/>
    <w:rsid w:val="00BC3FED"/>
    <w:rsid w:val="00BC4652"/>
    <w:rsid w:val="00BC487E"/>
    <w:rsid w:val="00BC4BC0"/>
    <w:rsid w:val="00BC591E"/>
    <w:rsid w:val="00BC5AFB"/>
    <w:rsid w:val="00BC5D04"/>
    <w:rsid w:val="00BC5DA6"/>
    <w:rsid w:val="00BC66AC"/>
    <w:rsid w:val="00BC6AA8"/>
    <w:rsid w:val="00BC6B89"/>
    <w:rsid w:val="00BC6E76"/>
    <w:rsid w:val="00BC736D"/>
    <w:rsid w:val="00BC7572"/>
    <w:rsid w:val="00BC7A2B"/>
    <w:rsid w:val="00BD0542"/>
    <w:rsid w:val="00BD0557"/>
    <w:rsid w:val="00BD10FF"/>
    <w:rsid w:val="00BD1521"/>
    <w:rsid w:val="00BD15FD"/>
    <w:rsid w:val="00BD166A"/>
    <w:rsid w:val="00BD1843"/>
    <w:rsid w:val="00BD1CEE"/>
    <w:rsid w:val="00BD1F43"/>
    <w:rsid w:val="00BD24B3"/>
    <w:rsid w:val="00BD2622"/>
    <w:rsid w:val="00BD2AA9"/>
    <w:rsid w:val="00BD2C58"/>
    <w:rsid w:val="00BD302C"/>
    <w:rsid w:val="00BD35E9"/>
    <w:rsid w:val="00BD3EEC"/>
    <w:rsid w:val="00BD417C"/>
    <w:rsid w:val="00BD4240"/>
    <w:rsid w:val="00BD4ACF"/>
    <w:rsid w:val="00BD527E"/>
    <w:rsid w:val="00BD5AC6"/>
    <w:rsid w:val="00BD62F3"/>
    <w:rsid w:val="00BD6B7A"/>
    <w:rsid w:val="00BD6D27"/>
    <w:rsid w:val="00BD6EA5"/>
    <w:rsid w:val="00BD7075"/>
    <w:rsid w:val="00BD71BB"/>
    <w:rsid w:val="00BD7A0B"/>
    <w:rsid w:val="00BD7DFA"/>
    <w:rsid w:val="00BE03EA"/>
    <w:rsid w:val="00BE0BDE"/>
    <w:rsid w:val="00BE1361"/>
    <w:rsid w:val="00BE21A3"/>
    <w:rsid w:val="00BE3121"/>
    <w:rsid w:val="00BE3C9E"/>
    <w:rsid w:val="00BE3CB8"/>
    <w:rsid w:val="00BE3F97"/>
    <w:rsid w:val="00BE44DD"/>
    <w:rsid w:val="00BE4F6E"/>
    <w:rsid w:val="00BE539F"/>
    <w:rsid w:val="00BE5747"/>
    <w:rsid w:val="00BE5AAD"/>
    <w:rsid w:val="00BE6652"/>
    <w:rsid w:val="00BE66D7"/>
    <w:rsid w:val="00BE6B61"/>
    <w:rsid w:val="00BE7578"/>
    <w:rsid w:val="00BE7A65"/>
    <w:rsid w:val="00BE7D31"/>
    <w:rsid w:val="00BF0123"/>
    <w:rsid w:val="00BF0B35"/>
    <w:rsid w:val="00BF0C6A"/>
    <w:rsid w:val="00BF0C8B"/>
    <w:rsid w:val="00BF1156"/>
    <w:rsid w:val="00BF1288"/>
    <w:rsid w:val="00BF1B2A"/>
    <w:rsid w:val="00BF1D3D"/>
    <w:rsid w:val="00BF228C"/>
    <w:rsid w:val="00BF2331"/>
    <w:rsid w:val="00BF2D5D"/>
    <w:rsid w:val="00BF2E69"/>
    <w:rsid w:val="00BF2F74"/>
    <w:rsid w:val="00BF3EA0"/>
    <w:rsid w:val="00BF48E9"/>
    <w:rsid w:val="00BF4968"/>
    <w:rsid w:val="00BF5BD5"/>
    <w:rsid w:val="00BF5CE6"/>
    <w:rsid w:val="00BF64F1"/>
    <w:rsid w:val="00BF6530"/>
    <w:rsid w:val="00BF692E"/>
    <w:rsid w:val="00BF6B4B"/>
    <w:rsid w:val="00BF6DA5"/>
    <w:rsid w:val="00BF6EF7"/>
    <w:rsid w:val="00BF78AD"/>
    <w:rsid w:val="00BF7D6F"/>
    <w:rsid w:val="00BF7ECA"/>
    <w:rsid w:val="00C00733"/>
    <w:rsid w:val="00C00C60"/>
    <w:rsid w:val="00C01236"/>
    <w:rsid w:val="00C012D3"/>
    <w:rsid w:val="00C012EB"/>
    <w:rsid w:val="00C01918"/>
    <w:rsid w:val="00C01B84"/>
    <w:rsid w:val="00C01D4F"/>
    <w:rsid w:val="00C02745"/>
    <w:rsid w:val="00C0280D"/>
    <w:rsid w:val="00C02CC0"/>
    <w:rsid w:val="00C02E91"/>
    <w:rsid w:val="00C03A85"/>
    <w:rsid w:val="00C03EF8"/>
    <w:rsid w:val="00C045C5"/>
    <w:rsid w:val="00C05068"/>
    <w:rsid w:val="00C0513C"/>
    <w:rsid w:val="00C05151"/>
    <w:rsid w:val="00C056DD"/>
    <w:rsid w:val="00C063AB"/>
    <w:rsid w:val="00C076E3"/>
    <w:rsid w:val="00C07735"/>
    <w:rsid w:val="00C07858"/>
    <w:rsid w:val="00C07AE1"/>
    <w:rsid w:val="00C07D57"/>
    <w:rsid w:val="00C10A47"/>
    <w:rsid w:val="00C11486"/>
    <w:rsid w:val="00C11565"/>
    <w:rsid w:val="00C1180D"/>
    <w:rsid w:val="00C12350"/>
    <w:rsid w:val="00C1264F"/>
    <w:rsid w:val="00C12A52"/>
    <w:rsid w:val="00C13072"/>
    <w:rsid w:val="00C13220"/>
    <w:rsid w:val="00C1369E"/>
    <w:rsid w:val="00C139AC"/>
    <w:rsid w:val="00C1410B"/>
    <w:rsid w:val="00C1411D"/>
    <w:rsid w:val="00C141EF"/>
    <w:rsid w:val="00C143A9"/>
    <w:rsid w:val="00C15A2A"/>
    <w:rsid w:val="00C15F67"/>
    <w:rsid w:val="00C167CA"/>
    <w:rsid w:val="00C16C03"/>
    <w:rsid w:val="00C16EB5"/>
    <w:rsid w:val="00C17264"/>
    <w:rsid w:val="00C1745A"/>
    <w:rsid w:val="00C179E7"/>
    <w:rsid w:val="00C17BE3"/>
    <w:rsid w:val="00C203A4"/>
    <w:rsid w:val="00C20BE5"/>
    <w:rsid w:val="00C20DB0"/>
    <w:rsid w:val="00C21516"/>
    <w:rsid w:val="00C215DA"/>
    <w:rsid w:val="00C21917"/>
    <w:rsid w:val="00C21FF0"/>
    <w:rsid w:val="00C22134"/>
    <w:rsid w:val="00C22468"/>
    <w:rsid w:val="00C22650"/>
    <w:rsid w:val="00C22809"/>
    <w:rsid w:val="00C22C9D"/>
    <w:rsid w:val="00C22DDF"/>
    <w:rsid w:val="00C234DE"/>
    <w:rsid w:val="00C23CF1"/>
    <w:rsid w:val="00C244C9"/>
    <w:rsid w:val="00C2460D"/>
    <w:rsid w:val="00C246BE"/>
    <w:rsid w:val="00C24A39"/>
    <w:rsid w:val="00C24E11"/>
    <w:rsid w:val="00C24FDF"/>
    <w:rsid w:val="00C25887"/>
    <w:rsid w:val="00C25D28"/>
    <w:rsid w:val="00C25FB1"/>
    <w:rsid w:val="00C2617F"/>
    <w:rsid w:val="00C26190"/>
    <w:rsid w:val="00C26845"/>
    <w:rsid w:val="00C27437"/>
    <w:rsid w:val="00C275ED"/>
    <w:rsid w:val="00C303B2"/>
    <w:rsid w:val="00C304DE"/>
    <w:rsid w:val="00C3163F"/>
    <w:rsid w:val="00C31C61"/>
    <w:rsid w:val="00C31FAA"/>
    <w:rsid w:val="00C31FB4"/>
    <w:rsid w:val="00C326BF"/>
    <w:rsid w:val="00C33507"/>
    <w:rsid w:val="00C335E0"/>
    <w:rsid w:val="00C3369D"/>
    <w:rsid w:val="00C339F5"/>
    <w:rsid w:val="00C33C0A"/>
    <w:rsid w:val="00C33F1F"/>
    <w:rsid w:val="00C3491D"/>
    <w:rsid w:val="00C34FDC"/>
    <w:rsid w:val="00C357D4"/>
    <w:rsid w:val="00C35CC8"/>
    <w:rsid w:val="00C35CD3"/>
    <w:rsid w:val="00C35CDC"/>
    <w:rsid w:val="00C35D08"/>
    <w:rsid w:val="00C35DC7"/>
    <w:rsid w:val="00C36294"/>
    <w:rsid w:val="00C36498"/>
    <w:rsid w:val="00C365D2"/>
    <w:rsid w:val="00C37399"/>
    <w:rsid w:val="00C379B1"/>
    <w:rsid w:val="00C40352"/>
    <w:rsid w:val="00C419E1"/>
    <w:rsid w:val="00C42119"/>
    <w:rsid w:val="00C42787"/>
    <w:rsid w:val="00C42A73"/>
    <w:rsid w:val="00C42CF1"/>
    <w:rsid w:val="00C43E0C"/>
    <w:rsid w:val="00C4416F"/>
    <w:rsid w:val="00C44F37"/>
    <w:rsid w:val="00C45033"/>
    <w:rsid w:val="00C45E36"/>
    <w:rsid w:val="00C45E9C"/>
    <w:rsid w:val="00C46D61"/>
    <w:rsid w:val="00C47475"/>
    <w:rsid w:val="00C47929"/>
    <w:rsid w:val="00C47A35"/>
    <w:rsid w:val="00C47C99"/>
    <w:rsid w:val="00C47F58"/>
    <w:rsid w:val="00C47FFC"/>
    <w:rsid w:val="00C5003E"/>
    <w:rsid w:val="00C50237"/>
    <w:rsid w:val="00C50636"/>
    <w:rsid w:val="00C50782"/>
    <w:rsid w:val="00C50AC8"/>
    <w:rsid w:val="00C50EF8"/>
    <w:rsid w:val="00C51579"/>
    <w:rsid w:val="00C51C0B"/>
    <w:rsid w:val="00C51F4C"/>
    <w:rsid w:val="00C52316"/>
    <w:rsid w:val="00C52366"/>
    <w:rsid w:val="00C52967"/>
    <w:rsid w:val="00C52AD3"/>
    <w:rsid w:val="00C52AED"/>
    <w:rsid w:val="00C52DF8"/>
    <w:rsid w:val="00C53490"/>
    <w:rsid w:val="00C54008"/>
    <w:rsid w:val="00C540FD"/>
    <w:rsid w:val="00C54A42"/>
    <w:rsid w:val="00C5507A"/>
    <w:rsid w:val="00C55553"/>
    <w:rsid w:val="00C55703"/>
    <w:rsid w:val="00C55B1B"/>
    <w:rsid w:val="00C55D09"/>
    <w:rsid w:val="00C55E44"/>
    <w:rsid w:val="00C5603C"/>
    <w:rsid w:val="00C56C80"/>
    <w:rsid w:val="00C5720B"/>
    <w:rsid w:val="00C5799D"/>
    <w:rsid w:val="00C57D3C"/>
    <w:rsid w:val="00C57FD1"/>
    <w:rsid w:val="00C6010E"/>
    <w:rsid w:val="00C60CB8"/>
    <w:rsid w:val="00C61388"/>
    <w:rsid w:val="00C61404"/>
    <w:rsid w:val="00C614E1"/>
    <w:rsid w:val="00C6164E"/>
    <w:rsid w:val="00C61716"/>
    <w:rsid w:val="00C61C12"/>
    <w:rsid w:val="00C61E31"/>
    <w:rsid w:val="00C62386"/>
    <w:rsid w:val="00C62B12"/>
    <w:rsid w:val="00C63126"/>
    <w:rsid w:val="00C632A0"/>
    <w:rsid w:val="00C63D4F"/>
    <w:rsid w:val="00C63F8F"/>
    <w:rsid w:val="00C6469B"/>
    <w:rsid w:val="00C648FD"/>
    <w:rsid w:val="00C64BD0"/>
    <w:rsid w:val="00C6514D"/>
    <w:rsid w:val="00C65F80"/>
    <w:rsid w:val="00C6687A"/>
    <w:rsid w:val="00C669CB"/>
    <w:rsid w:val="00C66C34"/>
    <w:rsid w:val="00C66C77"/>
    <w:rsid w:val="00C66F65"/>
    <w:rsid w:val="00C6713D"/>
    <w:rsid w:val="00C6782B"/>
    <w:rsid w:val="00C67EF8"/>
    <w:rsid w:val="00C70898"/>
    <w:rsid w:val="00C7133E"/>
    <w:rsid w:val="00C725AA"/>
    <w:rsid w:val="00C72AEC"/>
    <w:rsid w:val="00C72CFB"/>
    <w:rsid w:val="00C72DCE"/>
    <w:rsid w:val="00C73045"/>
    <w:rsid w:val="00C733AC"/>
    <w:rsid w:val="00C73AF6"/>
    <w:rsid w:val="00C7459C"/>
    <w:rsid w:val="00C74CAD"/>
    <w:rsid w:val="00C75541"/>
    <w:rsid w:val="00C75A55"/>
    <w:rsid w:val="00C75CB4"/>
    <w:rsid w:val="00C76239"/>
    <w:rsid w:val="00C7645A"/>
    <w:rsid w:val="00C76D97"/>
    <w:rsid w:val="00C7719F"/>
    <w:rsid w:val="00C77B7C"/>
    <w:rsid w:val="00C77EB9"/>
    <w:rsid w:val="00C80178"/>
    <w:rsid w:val="00C8017B"/>
    <w:rsid w:val="00C80225"/>
    <w:rsid w:val="00C8037E"/>
    <w:rsid w:val="00C80479"/>
    <w:rsid w:val="00C8081D"/>
    <w:rsid w:val="00C80A04"/>
    <w:rsid w:val="00C810C9"/>
    <w:rsid w:val="00C81819"/>
    <w:rsid w:val="00C82261"/>
    <w:rsid w:val="00C82385"/>
    <w:rsid w:val="00C82A37"/>
    <w:rsid w:val="00C82CF0"/>
    <w:rsid w:val="00C82ECB"/>
    <w:rsid w:val="00C82F51"/>
    <w:rsid w:val="00C8351A"/>
    <w:rsid w:val="00C83955"/>
    <w:rsid w:val="00C83C91"/>
    <w:rsid w:val="00C83E66"/>
    <w:rsid w:val="00C842B5"/>
    <w:rsid w:val="00C84334"/>
    <w:rsid w:val="00C84AC4"/>
    <w:rsid w:val="00C8520F"/>
    <w:rsid w:val="00C859C2"/>
    <w:rsid w:val="00C85D1E"/>
    <w:rsid w:val="00C8656E"/>
    <w:rsid w:val="00C8676A"/>
    <w:rsid w:val="00C86D96"/>
    <w:rsid w:val="00C86FCB"/>
    <w:rsid w:val="00C871C4"/>
    <w:rsid w:val="00C875DD"/>
    <w:rsid w:val="00C87D3C"/>
    <w:rsid w:val="00C87ECC"/>
    <w:rsid w:val="00C90824"/>
    <w:rsid w:val="00C90FAD"/>
    <w:rsid w:val="00C91074"/>
    <w:rsid w:val="00C91ADE"/>
    <w:rsid w:val="00C91B43"/>
    <w:rsid w:val="00C91B75"/>
    <w:rsid w:val="00C91E62"/>
    <w:rsid w:val="00C920BD"/>
    <w:rsid w:val="00C92299"/>
    <w:rsid w:val="00C929EC"/>
    <w:rsid w:val="00C92E90"/>
    <w:rsid w:val="00C93412"/>
    <w:rsid w:val="00C94043"/>
    <w:rsid w:val="00C94C4F"/>
    <w:rsid w:val="00C95351"/>
    <w:rsid w:val="00C9555F"/>
    <w:rsid w:val="00C95844"/>
    <w:rsid w:val="00C96069"/>
    <w:rsid w:val="00C960EB"/>
    <w:rsid w:val="00C96C5C"/>
    <w:rsid w:val="00C97479"/>
    <w:rsid w:val="00C975B6"/>
    <w:rsid w:val="00C9766D"/>
    <w:rsid w:val="00C97BF6"/>
    <w:rsid w:val="00C97E01"/>
    <w:rsid w:val="00CA0031"/>
    <w:rsid w:val="00CA096A"/>
    <w:rsid w:val="00CA0D9A"/>
    <w:rsid w:val="00CA0F5A"/>
    <w:rsid w:val="00CA1615"/>
    <w:rsid w:val="00CA20F6"/>
    <w:rsid w:val="00CA221C"/>
    <w:rsid w:val="00CA23E0"/>
    <w:rsid w:val="00CA2A2F"/>
    <w:rsid w:val="00CA2F1B"/>
    <w:rsid w:val="00CA3492"/>
    <w:rsid w:val="00CA34C3"/>
    <w:rsid w:val="00CA35B8"/>
    <w:rsid w:val="00CA382A"/>
    <w:rsid w:val="00CA390A"/>
    <w:rsid w:val="00CA3E5E"/>
    <w:rsid w:val="00CA46AA"/>
    <w:rsid w:val="00CA470C"/>
    <w:rsid w:val="00CA52F9"/>
    <w:rsid w:val="00CA5A5E"/>
    <w:rsid w:val="00CA62AF"/>
    <w:rsid w:val="00CA666E"/>
    <w:rsid w:val="00CA693D"/>
    <w:rsid w:val="00CA6FE0"/>
    <w:rsid w:val="00CA73B9"/>
    <w:rsid w:val="00CB03B1"/>
    <w:rsid w:val="00CB0740"/>
    <w:rsid w:val="00CB0988"/>
    <w:rsid w:val="00CB0B55"/>
    <w:rsid w:val="00CB10E7"/>
    <w:rsid w:val="00CB1D13"/>
    <w:rsid w:val="00CB1D1B"/>
    <w:rsid w:val="00CB1E6E"/>
    <w:rsid w:val="00CB244B"/>
    <w:rsid w:val="00CB24AD"/>
    <w:rsid w:val="00CB2767"/>
    <w:rsid w:val="00CB283F"/>
    <w:rsid w:val="00CB2BCD"/>
    <w:rsid w:val="00CB3100"/>
    <w:rsid w:val="00CB312A"/>
    <w:rsid w:val="00CB34D6"/>
    <w:rsid w:val="00CB362C"/>
    <w:rsid w:val="00CB36FD"/>
    <w:rsid w:val="00CB37D9"/>
    <w:rsid w:val="00CB38D9"/>
    <w:rsid w:val="00CB3900"/>
    <w:rsid w:val="00CB4440"/>
    <w:rsid w:val="00CB4CFA"/>
    <w:rsid w:val="00CB59B7"/>
    <w:rsid w:val="00CB5D77"/>
    <w:rsid w:val="00CB5F40"/>
    <w:rsid w:val="00CB6CAA"/>
    <w:rsid w:val="00CB6F18"/>
    <w:rsid w:val="00CB6F7E"/>
    <w:rsid w:val="00CB7187"/>
    <w:rsid w:val="00CB73D3"/>
    <w:rsid w:val="00CB75D4"/>
    <w:rsid w:val="00CB76EC"/>
    <w:rsid w:val="00CB79E6"/>
    <w:rsid w:val="00CB7BB9"/>
    <w:rsid w:val="00CC028D"/>
    <w:rsid w:val="00CC0C29"/>
    <w:rsid w:val="00CC1095"/>
    <w:rsid w:val="00CC1187"/>
    <w:rsid w:val="00CC14FC"/>
    <w:rsid w:val="00CC158D"/>
    <w:rsid w:val="00CC18FA"/>
    <w:rsid w:val="00CC1AED"/>
    <w:rsid w:val="00CC24D2"/>
    <w:rsid w:val="00CC2DA0"/>
    <w:rsid w:val="00CC3493"/>
    <w:rsid w:val="00CC354B"/>
    <w:rsid w:val="00CC3C2E"/>
    <w:rsid w:val="00CC412A"/>
    <w:rsid w:val="00CC4691"/>
    <w:rsid w:val="00CC46BC"/>
    <w:rsid w:val="00CC4850"/>
    <w:rsid w:val="00CC4870"/>
    <w:rsid w:val="00CC4C68"/>
    <w:rsid w:val="00CC4F6A"/>
    <w:rsid w:val="00CC5698"/>
    <w:rsid w:val="00CC5888"/>
    <w:rsid w:val="00CC5ED3"/>
    <w:rsid w:val="00CC5F27"/>
    <w:rsid w:val="00CC5F50"/>
    <w:rsid w:val="00CC5F7F"/>
    <w:rsid w:val="00CC6948"/>
    <w:rsid w:val="00CC6D70"/>
    <w:rsid w:val="00CC6E4A"/>
    <w:rsid w:val="00CC775D"/>
    <w:rsid w:val="00CC7900"/>
    <w:rsid w:val="00CC7AFD"/>
    <w:rsid w:val="00CC7E09"/>
    <w:rsid w:val="00CC7E7A"/>
    <w:rsid w:val="00CD07E3"/>
    <w:rsid w:val="00CD0A96"/>
    <w:rsid w:val="00CD15AC"/>
    <w:rsid w:val="00CD1AB5"/>
    <w:rsid w:val="00CD1D47"/>
    <w:rsid w:val="00CD1FEC"/>
    <w:rsid w:val="00CD2A46"/>
    <w:rsid w:val="00CD33D2"/>
    <w:rsid w:val="00CD356B"/>
    <w:rsid w:val="00CD35AF"/>
    <w:rsid w:val="00CD4122"/>
    <w:rsid w:val="00CD4F73"/>
    <w:rsid w:val="00CD54D6"/>
    <w:rsid w:val="00CD54D9"/>
    <w:rsid w:val="00CD5998"/>
    <w:rsid w:val="00CD5F48"/>
    <w:rsid w:val="00CD602D"/>
    <w:rsid w:val="00CD6B8C"/>
    <w:rsid w:val="00CD70AF"/>
    <w:rsid w:val="00CD77EC"/>
    <w:rsid w:val="00CD7CCE"/>
    <w:rsid w:val="00CD7E52"/>
    <w:rsid w:val="00CE0933"/>
    <w:rsid w:val="00CE19E1"/>
    <w:rsid w:val="00CE1B4D"/>
    <w:rsid w:val="00CE2986"/>
    <w:rsid w:val="00CE324A"/>
    <w:rsid w:val="00CE3329"/>
    <w:rsid w:val="00CE385E"/>
    <w:rsid w:val="00CE3C22"/>
    <w:rsid w:val="00CE436D"/>
    <w:rsid w:val="00CE439B"/>
    <w:rsid w:val="00CE4B92"/>
    <w:rsid w:val="00CE4D52"/>
    <w:rsid w:val="00CE4EF9"/>
    <w:rsid w:val="00CE4F0F"/>
    <w:rsid w:val="00CE5143"/>
    <w:rsid w:val="00CE5A30"/>
    <w:rsid w:val="00CE5AC9"/>
    <w:rsid w:val="00CE622A"/>
    <w:rsid w:val="00CE6904"/>
    <w:rsid w:val="00CE69EC"/>
    <w:rsid w:val="00CE6BFC"/>
    <w:rsid w:val="00CF0422"/>
    <w:rsid w:val="00CF06D9"/>
    <w:rsid w:val="00CF0757"/>
    <w:rsid w:val="00CF0BAE"/>
    <w:rsid w:val="00CF15BE"/>
    <w:rsid w:val="00CF175E"/>
    <w:rsid w:val="00CF1C26"/>
    <w:rsid w:val="00CF2262"/>
    <w:rsid w:val="00CF22B1"/>
    <w:rsid w:val="00CF2CC2"/>
    <w:rsid w:val="00CF2E91"/>
    <w:rsid w:val="00CF3419"/>
    <w:rsid w:val="00CF36AF"/>
    <w:rsid w:val="00CF3992"/>
    <w:rsid w:val="00CF3FB5"/>
    <w:rsid w:val="00CF508F"/>
    <w:rsid w:val="00CF55BF"/>
    <w:rsid w:val="00CF5935"/>
    <w:rsid w:val="00CF59CC"/>
    <w:rsid w:val="00CF5E6F"/>
    <w:rsid w:val="00CF5EEC"/>
    <w:rsid w:val="00CF5F39"/>
    <w:rsid w:val="00CF655F"/>
    <w:rsid w:val="00CF65EE"/>
    <w:rsid w:val="00CF66DC"/>
    <w:rsid w:val="00CF7D3B"/>
    <w:rsid w:val="00D00454"/>
    <w:rsid w:val="00D00793"/>
    <w:rsid w:val="00D01286"/>
    <w:rsid w:val="00D0185D"/>
    <w:rsid w:val="00D01A08"/>
    <w:rsid w:val="00D01B16"/>
    <w:rsid w:val="00D0203F"/>
    <w:rsid w:val="00D02252"/>
    <w:rsid w:val="00D0258F"/>
    <w:rsid w:val="00D02D71"/>
    <w:rsid w:val="00D0364C"/>
    <w:rsid w:val="00D036E5"/>
    <w:rsid w:val="00D03909"/>
    <w:rsid w:val="00D03C9A"/>
    <w:rsid w:val="00D04733"/>
    <w:rsid w:val="00D0528E"/>
    <w:rsid w:val="00D0598B"/>
    <w:rsid w:val="00D05B26"/>
    <w:rsid w:val="00D05E6E"/>
    <w:rsid w:val="00D05F2B"/>
    <w:rsid w:val="00D06299"/>
    <w:rsid w:val="00D063D1"/>
    <w:rsid w:val="00D06E3B"/>
    <w:rsid w:val="00D07391"/>
    <w:rsid w:val="00D07739"/>
    <w:rsid w:val="00D07FB0"/>
    <w:rsid w:val="00D10247"/>
    <w:rsid w:val="00D102DA"/>
    <w:rsid w:val="00D1031F"/>
    <w:rsid w:val="00D10FC2"/>
    <w:rsid w:val="00D110FE"/>
    <w:rsid w:val="00D11869"/>
    <w:rsid w:val="00D11908"/>
    <w:rsid w:val="00D1270A"/>
    <w:rsid w:val="00D12B85"/>
    <w:rsid w:val="00D12D22"/>
    <w:rsid w:val="00D12E3D"/>
    <w:rsid w:val="00D12F0E"/>
    <w:rsid w:val="00D13A15"/>
    <w:rsid w:val="00D14982"/>
    <w:rsid w:val="00D1498B"/>
    <w:rsid w:val="00D14A42"/>
    <w:rsid w:val="00D14FD7"/>
    <w:rsid w:val="00D14FFA"/>
    <w:rsid w:val="00D16010"/>
    <w:rsid w:val="00D16160"/>
    <w:rsid w:val="00D165B5"/>
    <w:rsid w:val="00D1737A"/>
    <w:rsid w:val="00D176F7"/>
    <w:rsid w:val="00D17923"/>
    <w:rsid w:val="00D202AF"/>
    <w:rsid w:val="00D2048B"/>
    <w:rsid w:val="00D2054A"/>
    <w:rsid w:val="00D2099D"/>
    <w:rsid w:val="00D20C28"/>
    <w:rsid w:val="00D2172C"/>
    <w:rsid w:val="00D21892"/>
    <w:rsid w:val="00D22339"/>
    <w:rsid w:val="00D22437"/>
    <w:rsid w:val="00D22CCB"/>
    <w:rsid w:val="00D22DF2"/>
    <w:rsid w:val="00D2305D"/>
    <w:rsid w:val="00D23AA5"/>
    <w:rsid w:val="00D25029"/>
    <w:rsid w:val="00D2508A"/>
    <w:rsid w:val="00D251FA"/>
    <w:rsid w:val="00D253E7"/>
    <w:rsid w:val="00D25572"/>
    <w:rsid w:val="00D2560E"/>
    <w:rsid w:val="00D25643"/>
    <w:rsid w:val="00D257DE"/>
    <w:rsid w:val="00D25A90"/>
    <w:rsid w:val="00D261A8"/>
    <w:rsid w:val="00D263A9"/>
    <w:rsid w:val="00D26422"/>
    <w:rsid w:val="00D26626"/>
    <w:rsid w:val="00D26833"/>
    <w:rsid w:val="00D26B03"/>
    <w:rsid w:val="00D274A9"/>
    <w:rsid w:val="00D27504"/>
    <w:rsid w:val="00D2773E"/>
    <w:rsid w:val="00D27758"/>
    <w:rsid w:val="00D279AF"/>
    <w:rsid w:val="00D27C27"/>
    <w:rsid w:val="00D30577"/>
    <w:rsid w:val="00D30E7E"/>
    <w:rsid w:val="00D310F9"/>
    <w:rsid w:val="00D3201D"/>
    <w:rsid w:val="00D3275F"/>
    <w:rsid w:val="00D32FF9"/>
    <w:rsid w:val="00D33625"/>
    <w:rsid w:val="00D33A71"/>
    <w:rsid w:val="00D34C37"/>
    <w:rsid w:val="00D34C76"/>
    <w:rsid w:val="00D35123"/>
    <w:rsid w:val="00D3526F"/>
    <w:rsid w:val="00D352F8"/>
    <w:rsid w:val="00D35FF9"/>
    <w:rsid w:val="00D360A9"/>
    <w:rsid w:val="00D36455"/>
    <w:rsid w:val="00D36E0B"/>
    <w:rsid w:val="00D378A2"/>
    <w:rsid w:val="00D37D64"/>
    <w:rsid w:val="00D37EE9"/>
    <w:rsid w:val="00D37F84"/>
    <w:rsid w:val="00D4069F"/>
    <w:rsid w:val="00D40B21"/>
    <w:rsid w:val="00D4103F"/>
    <w:rsid w:val="00D411CE"/>
    <w:rsid w:val="00D41C3A"/>
    <w:rsid w:val="00D41E76"/>
    <w:rsid w:val="00D429E8"/>
    <w:rsid w:val="00D42FC7"/>
    <w:rsid w:val="00D43781"/>
    <w:rsid w:val="00D43959"/>
    <w:rsid w:val="00D43AFC"/>
    <w:rsid w:val="00D43EFD"/>
    <w:rsid w:val="00D4420A"/>
    <w:rsid w:val="00D4439D"/>
    <w:rsid w:val="00D44682"/>
    <w:rsid w:val="00D44EDA"/>
    <w:rsid w:val="00D4505A"/>
    <w:rsid w:val="00D45993"/>
    <w:rsid w:val="00D45EA1"/>
    <w:rsid w:val="00D45FFC"/>
    <w:rsid w:val="00D46075"/>
    <w:rsid w:val="00D46318"/>
    <w:rsid w:val="00D464AF"/>
    <w:rsid w:val="00D464B8"/>
    <w:rsid w:val="00D46AE5"/>
    <w:rsid w:val="00D46C38"/>
    <w:rsid w:val="00D46CEA"/>
    <w:rsid w:val="00D470F3"/>
    <w:rsid w:val="00D47640"/>
    <w:rsid w:val="00D47A32"/>
    <w:rsid w:val="00D47DC4"/>
    <w:rsid w:val="00D50C61"/>
    <w:rsid w:val="00D5102A"/>
    <w:rsid w:val="00D51209"/>
    <w:rsid w:val="00D51320"/>
    <w:rsid w:val="00D521DD"/>
    <w:rsid w:val="00D5286D"/>
    <w:rsid w:val="00D52C80"/>
    <w:rsid w:val="00D5322C"/>
    <w:rsid w:val="00D53988"/>
    <w:rsid w:val="00D53AD1"/>
    <w:rsid w:val="00D53B5E"/>
    <w:rsid w:val="00D53CCB"/>
    <w:rsid w:val="00D53DA0"/>
    <w:rsid w:val="00D540E2"/>
    <w:rsid w:val="00D543A3"/>
    <w:rsid w:val="00D544AF"/>
    <w:rsid w:val="00D5518E"/>
    <w:rsid w:val="00D56013"/>
    <w:rsid w:val="00D57E8E"/>
    <w:rsid w:val="00D60137"/>
    <w:rsid w:val="00D602CD"/>
    <w:rsid w:val="00D6041C"/>
    <w:rsid w:val="00D60427"/>
    <w:rsid w:val="00D6067E"/>
    <w:rsid w:val="00D611FE"/>
    <w:rsid w:val="00D61E8C"/>
    <w:rsid w:val="00D61EF2"/>
    <w:rsid w:val="00D62CA1"/>
    <w:rsid w:val="00D63FD7"/>
    <w:rsid w:val="00D6401C"/>
    <w:rsid w:val="00D643A1"/>
    <w:rsid w:val="00D64A9A"/>
    <w:rsid w:val="00D64C25"/>
    <w:rsid w:val="00D64E8C"/>
    <w:rsid w:val="00D6515B"/>
    <w:rsid w:val="00D6522E"/>
    <w:rsid w:val="00D658BE"/>
    <w:rsid w:val="00D659D6"/>
    <w:rsid w:val="00D67760"/>
    <w:rsid w:val="00D70300"/>
    <w:rsid w:val="00D70A33"/>
    <w:rsid w:val="00D70CEF"/>
    <w:rsid w:val="00D712D9"/>
    <w:rsid w:val="00D71401"/>
    <w:rsid w:val="00D71797"/>
    <w:rsid w:val="00D72389"/>
    <w:rsid w:val="00D730B3"/>
    <w:rsid w:val="00D73B48"/>
    <w:rsid w:val="00D73D9D"/>
    <w:rsid w:val="00D74080"/>
    <w:rsid w:val="00D74215"/>
    <w:rsid w:val="00D74C0D"/>
    <w:rsid w:val="00D74C51"/>
    <w:rsid w:val="00D74C86"/>
    <w:rsid w:val="00D754E6"/>
    <w:rsid w:val="00D76622"/>
    <w:rsid w:val="00D766B2"/>
    <w:rsid w:val="00D76F35"/>
    <w:rsid w:val="00D779A0"/>
    <w:rsid w:val="00D77A0A"/>
    <w:rsid w:val="00D8015E"/>
    <w:rsid w:val="00D8045B"/>
    <w:rsid w:val="00D80A36"/>
    <w:rsid w:val="00D8176D"/>
    <w:rsid w:val="00D81B3F"/>
    <w:rsid w:val="00D81D71"/>
    <w:rsid w:val="00D82113"/>
    <w:rsid w:val="00D82CD3"/>
    <w:rsid w:val="00D83196"/>
    <w:rsid w:val="00D83B87"/>
    <w:rsid w:val="00D83C5E"/>
    <w:rsid w:val="00D83CB8"/>
    <w:rsid w:val="00D845B2"/>
    <w:rsid w:val="00D8465E"/>
    <w:rsid w:val="00D853D2"/>
    <w:rsid w:val="00D858CE"/>
    <w:rsid w:val="00D85ABB"/>
    <w:rsid w:val="00D85E78"/>
    <w:rsid w:val="00D85F68"/>
    <w:rsid w:val="00D8601F"/>
    <w:rsid w:val="00D86283"/>
    <w:rsid w:val="00D86439"/>
    <w:rsid w:val="00D8647E"/>
    <w:rsid w:val="00D8686B"/>
    <w:rsid w:val="00D8696A"/>
    <w:rsid w:val="00D86BED"/>
    <w:rsid w:val="00D87638"/>
    <w:rsid w:val="00D878BE"/>
    <w:rsid w:val="00D87E4A"/>
    <w:rsid w:val="00D87F67"/>
    <w:rsid w:val="00D90828"/>
    <w:rsid w:val="00D90965"/>
    <w:rsid w:val="00D90D41"/>
    <w:rsid w:val="00D91BE8"/>
    <w:rsid w:val="00D9359A"/>
    <w:rsid w:val="00D93DC7"/>
    <w:rsid w:val="00D94569"/>
    <w:rsid w:val="00D945E9"/>
    <w:rsid w:val="00D94CDF"/>
    <w:rsid w:val="00D9558B"/>
    <w:rsid w:val="00D957F2"/>
    <w:rsid w:val="00D95F1A"/>
    <w:rsid w:val="00D960CE"/>
    <w:rsid w:val="00D96128"/>
    <w:rsid w:val="00D9653B"/>
    <w:rsid w:val="00D96563"/>
    <w:rsid w:val="00D9666B"/>
    <w:rsid w:val="00D96AC2"/>
    <w:rsid w:val="00D96BFE"/>
    <w:rsid w:val="00D96CF4"/>
    <w:rsid w:val="00D96EEB"/>
    <w:rsid w:val="00D975B7"/>
    <w:rsid w:val="00D97772"/>
    <w:rsid w:val="00D97B32"/>
    <w:rsid w:val="00D97E4F"/>
    <w:rsid w:val="00D97F3F"/>
    <w:rsid w:val="00DA0267"/>
    <w:rsid w:val="00DA05F2"/>
    <w:rsid w:val="00DA0702"/>
    <w:rsid w:val="00DA0E39"/>
    <w:rsid w:val="00DA160E"/>
    <w:rsid w:val="00DA1671"/>
    <w:rsid w:val="00DA1B0A"/>
    <w:rsid w:val="00DA1E2A"/>
    <w:rsid w:val="00DA22EB"/>
    <w:rsid w:val="00DA2466"/>
    <w:rsid w:val="00DA256B"/>
    <w:rsid w:val="00DA2651"/>
    <w:rsid w:val="00DA2A05"/>
    <w:rsid w:val="00DA2A77"/>
    <w:rsid w:val="00DA2CF2"/>
    <w:rsid w:val="00DA3655"/>
    <w:rsid w:val="00DA3A26"/>
    <w:rsid w:val="00DA3DF3"/>
    <w:rsid w:val="00DA41C7"/>
    <w:rsid w:val="00DA4634"/>
    <w:rsid w:val="00DA4858"/>
    <w:rsid w:val="00DA4882"/>
    <w:rsid w:val="00DA4D83"/>
    <w:rsid w:val="00DA554C"/>
    <w:rsid w:val="00DA597F"/>
    <w:rsid w:val="00DA5E82"/>
    <w:rsid w:val="00DA6142"/>
    <w:rsid w:val="00DA6294"/>
    <w:rsid w:val="00DA6825"/>
    <w:rsid w:val="00DA6B18"/>
    <w:rsid w:val="00DA6C58"/>
    <w:rsid w:val="00DA6DB5"/>
    <w:rsid w:val="00DA6E33"/>
    <w:rsid w:val="00DA730E"/>
    <w:rsid w:val="00DA7575"/>
    <w:rsid w:val="00DA79A4"/>
    <w:rsid w:val="00DA7AD8"/>
    <w:rsid w:val="00DA7CC4"/>
    <w:rsid w:val="00DB04C4"/>
    <w:rsid w:val="00DB0770"/>
    <w:rsid w:val="00DB0778"/>
    <w:rsid w:val="00DB0A5F"/>
    <w:rsid w:val="00DB15CB"/>
    <w:rsid w:val="00DB16F7"/>
    <w:rsid w:val="00DB17EB"/>
    <w:rsid w:val="00DB1874"/>
    <w:rsid w:val="00DB1BC2"/>
    <w:rsid w:val="00DB1C17"/>
    <w:rsid w:val="00DB1EA6"/>
    <w:rsid w:val="00DB1EE2"/>
    <w:rsid w:val="00DB25DE"/>
    <w:rsid w:val="00DB2635"/>
    <w:rsid w:val="00DB2CDF"/>
    <w:rsid w:val="00DB34F4"/>
    <w:rsid w:val="00DB3C5D"/>
    <w:rsid w:val="00DB4757"/>
    <w:rsid w:val="00DB4D37"/>
    <w:rsid w:val="00DB54D9"/>
    <w:rsid w:val="00DB5555"/>
    <w:rsid w:val="00DB55E4"/>
    <w:rsid w:val="00DB59CD"/>
    <w:rsid w:val="00DB5A67"/>
    <w:rsid w:val="00DB5BA3"/>
    <w:rsid w:val="00DB61DC"/>
    <w:rsid w:val="00DB68A8"/>
    <w:rsid w:val="00DB6962"/>
    <w:rsid w:val="00DB6FB2"/>
    <w:rsid w:val="00DB70DF"/>
    <w:rsid w:val="00DB772C"/>
    <w:rsid w:val="00DC0352"/>
    <w:rsid w:val="00DC047B"/>
    <w:rsid w:val="00DC0A63"/>
    <w:rsid w:val="00DC0DC8"/>
    <w:rsid w:val="00DC1633"/>
    <w:rsid w:val="00DC16B4"/>
    <w:rsid w:val="00DC2741"/>
    <w:rsid w:val="00DC297B"/>
    <w:rsid w:val="00DC2BD4"/>
    <w:rsid w:val="00DC2E3A"/>
    <w:rsid w:val="00DC335D"/>
    <w:rsid w:val="00DC344B"/>
    <w:rsid w:val="00DC3D49"/>
    <w:rsid w:val="00DC3D66"/>
    <w:rsid w:val="00DC3F60"/>
    <w:rsid w:val="00DC3FDF"/>
    <w:rsid w:val="00DC439A"/>
    <w:rsid w:val="00DC44CD"/>
    <w:rsid w:val="00DC477D"/>
    <w:rsid w:val="00DC4A0D"/>
    <w:rsid w:val="00DC4E75"/>
    <w:rsid w:val="00DC5579"/>
    <w:rsid w:val="00DC59DE"/>
    <w:rsid w:val="00DC5C31"/>
    <w:rsid w:val="00DC645A"/>
    <w:rsid w:val="00DC69D7"/>
    <w:rsid w:val="00DC6C17"/>
    <w:rsid w:val="00DC7138"/>
    <w:rsid w:val="00DC7254"/>
    <w:rsid w:val="00DC750A"/>
    <w:rsid w:val="00DC7678"/>
    <w:rsid w:val="00DC7FC6"/>
    <w:rsid w:val="00DD03BA"/>
    <w:rsid w:val="00DD03F2"/>
    <w:rsid w:val="00DD04F9"/>
    <w:rsid w:val="00DD0B39"/>
    <w:rsid w:val="00DD1114"/>
    <w:rsid w:val="00DD1216"/>
    <w:rsid w:val="00DD1477"/>
    <w:rsid w:val="00DD1546"/>
    <w:rsid w:val="00DD1BF5"/>
    <w:rsid w:val="00DD1F67"/>
    <w:rsid w:val="00DD2983"/>
    <w:rsid w:val="00DD2C71"/>
    <w:rsid w:val="00DD3300"/>
    <w:rsid w:val="00DD416B"/>
    <w:rsid w:val="00DD41AA"/>
    <w:rsid w:val="00DD4210"/>
    <w:rsid w:val="00DD43CA"/>
    <w:rsid w:val="00DD47C2"/>
    <w:rsid w:val="00DD4AD5"/>
    <w:rsid w:val="00DD4CCE"/>
    <w:rsid w:val="00DD5002"/>
    <w:rsid w:val="00DD50AE"/>
    <w:rsid w:val="00DD5434"/>
    <w:rsid w:val="00DD5505"/>
    <w:rsid w:val="00DD56CD"/>
    <w:rsid w:val="00DD57FF"/>
    <w:rsid w:val="00DD5A30"/>
    <w:rsid w:val="00DD5ABD"/>
    <w:rsid w:val="00DD5C89"/>
    <w:rsid w:val="00DD5EA6"/>
    <w:rsid w:val="00DD6D26"/>
    <w:rsid w:val="00DD71F4"/>
    <w:rsid w:val="00DD7991"/>
    <w:rsid w:val="00DD7D2E"/>
    <w:rsid w:val="00DD7E29"/>
    <w:rsid w:val="00DE02DC"/>
    <w:rsid w:val="00DE0377"/>
    <w:rsid w:val="00DE04F0"/>
    <w:rsid w:val="00DE0FCD"/>
    <w:rsid w:val="00DE149E"/>
    <w:rsid w:val="00DE1AD5"/>
    <w:rsid w:val="00DE23B8"/>
    <w:rsid w:val="00DE23F9"/>
    <w:rsid w:val="00DE2956"/>
    <w:rsid w:val="00DE30A7"/>
    <w:rsid w:val="00DE34C7"/>
    <w:rsid w:val="00DE3EDF"/>
    <w:rsid w:val="00DE41AB"/>
    <w:rsid w:val="00DE4A40"/>
    <w:rsid w:val="00DE4D07"/>
    <w:rsid w:val="00DE5150"/>
    <w:rsid w:val="00DE58B5"/>
    <w:rsid w:val="00DE5F15"/>
    <w:rsid w:val="00DE6444"/>
    <w:rsid w:val="00DE7286"/>
    <w:rsid w:val="00DE737F"/>
    <w:rsid w:val="00DE787F"/>
    <w:rsid w:val="00DE7A34"/>
    <w:rsid w:val="00DE7C0C"/>
    <w:rsid w:val="00DF0B5E"/>
    <w:rsid w:val="00DF109F"/>
    <w:rsid w:val="00DF12D5"/>
    <w:rsid w:val="00DF1361"/>
    <w:rsid w:val="00DF22E0"/>
    <w:rsid w:val="00DF3161"/>
    <w:rsid w:val="00DF3699"/>
    <w:rsid w:val="00DF3935"/>
    <w:rsid w:val="00DF3B90"/>
    <w:rsid w:val="00DF3D60"/>
    <w:rsid w:val="00DF3E14"/>
    <w:rsid w:val="00DF3EA4"/>
    <w:rsid w:val="00DF4333"/>
    <w:rsid w:val="00DF4921"/>
    <w:rsid w:val="00DF49FE"/>
    <w:rsid w:val="00DF4C3D"/>
    <w:rsid w:val="00DF4DC1"/>
    <w:rsid w:val="00DF54FB"/>
    <w:rsid w:val="00DF569C"/>
    <w:rsid w:val="00DF5A8A"/>
    <w:rsid w:val="00DF5C02"/>
    <w:rsid w:val="00DF67B2"/>
    <w:rsid w:val="00DF68BB"/>
    <w:rsid w:val="00DF6B4C"/>
    <w:rsid w:val="00DF6DC8"/>
    <w:rsid w:val="00DF706E"/>
    <w:rsid w:val="00DF7106"/>
    <w:rsid w:val="00DF723F"/>
    <w:rsid w:val="00DF7EBB"/>
    <w:rsid w:val="00E00387"/>
    <w:rsid w:val="00E0050E"/>
    <w:rsid w:val="00E00F0C"/>
    <w:rsid w:val="00E00F43"/>
    <w:rsid w:val="00E00F58"/>
    <w:rsid w:val="00E0223E"/>
    <w:rsid w:val="00E0317B"/>
    <w:rsid w:val="00E033B1"/>
    <w:rsid w:val="00E0355A"/>
    <w:rsid w:val="00E035CB"/>
    <w:rsid w:val="00E03C15"/>
    <w:rsid w:val="00E03F21"/>
    <w:rsid w:val="00E042C5"/>
    <w:rsid w:val="00E0446B"/>
    <w:rsid w:val="00E04672"/>
    <w:rsid w:val="00E04A7D"/>
    <w:rsid w:val="00E04AA1"/>
    <w:rsid w:val="00E04FA6"/>
    <w:rsid w:val="00E053F4"/>
    <w:rsid w:val="00E055FF"/>
    <w:rsid w:val="00E05622"/>
    <w:rsid w:val="00E05E6B"/>
    <w:rsid w:val="00E06263"/>
    <w:rsid w:val="00E065FA"/>
    <w:rsid w:val="00E06A7D"/>
    <w:rsid w:val="00E07090"/>
    <w:rsid w:val="00E07671"/>
    <w:rsid w:val="00E07A47"/>
    <w:rsid w:val="00E07C49"/>
    <w:rsid w:val="00E07CFE"/>
    <w:rsid w:val="00E10060"/>
    <w:rsid w:val="00E10328"/>
    <w:rsid w:val="00E10682"/>
    <w:rsid w:val="00E10C29"/>
    <w:rsid w:val="00E10C2E"/>
    <w:rsid w:val="00E10FB5"/>
    <w:rsid w:val="00E11339"/>
    <w:rsid w:val="00E116A3"/>
    <w:rsid w:val="00E11A8C"/>
    <w:rsid w:val="00E11BC0"/>
    <w:rsid w:val="00E121F9"/>
    <w:rsid w:val="00E13510"/>
    <w:rsid w:val="00E13C35"/>
    <w:rsid w:val="00E1483D"/>
    <w:rsid w:val="00E14E37"/>
    <w:rsid w:val="00E153FE"/>
    <w:rsid w:val="00E162CC"/>
    <w:rsid w:val="00E1657B"/>
    <w:rsid w:val="00E16DE0"/>
    <w:rsid w:val="00E16E6F"/>
    <w:rsid w:val="00E17AAE"/>
    <w:rsid w:val="00E20509"/>
    <w:rsid w:val="00E20A1F"/>
    <w:rsid w:val="00E214A1"/>
    <w:rsid w:val="00E21641"/>
    <w:rsid w:val="00E21A7F"/>
    <w:rsid w:val="00E21DA8"/>
    <w:rsid w:val="00E223F6"/>
    <w:rsid w:val="00E2266A"/>
    <w:rsid w:val="00E22CAC"/>
    <w:rsid w:val="00E22F03"/>
    <w:rsid w:val="00E22FCE"/>
    <w:rsid w:val="00E232D6"/>
    <w:rsid w:val="00E235EC"/>
    <w:rsid w:val="00E24214"/>
    <w:rsid w:val="00E2461B"/>
    <w:rsid w:val="00E2470A"/>
    <w:rsid w:val="00E248F7"/>
    <w:rsid w:val="00E24B81"/>
    <w:rsid w:val="00E24BA1"/>
    <w:rsid w:val="00E24F6D"/>
    <w:rsid w:val="00E251C9"/>
    <w:rsid w:val="00E25480"/>
    <w:rsid w:val="00E258C3"/>
    <w:rsid w:val="00E25F8B"/>
    <w:rsid w:val="00E26440"/>
    <w:rsid w:val="00E2645C"/>
    <w:rsid w:val="00E26B2B"/>
    <w:rsid w:val="00E270CB"/>
    <w:rsid w:val="00E271BB"/>
    <w:rsid w:val="00E27543"/>
    <w:rsid w:val="00E27BEA"/>
    <w:rsid w:val="00E27CA8"/>
    <w:rsid w:val="00E30CD0"/>
    <w:rsid w:val="00E315F0"/>
    <w:rsid w:val="00E31D4E"/>
    <w:rsid w:val="00E325AB"/>
    <w:rsid w:val="00E33196"/>
    <w:rsid w:val="00E333EA"/>
    <w:rsid w:val="00E33674"/>
    <w:rsid w:val="00E337B2"/>
    <w:rsid w:val="00E34113"/>
    <w:rsid w:val="00E342B4"/>
    <w:rsid w:val="00E3450C"/>
    <w:rsid w:val="00E34560"/>
    <w:rsid w:val="00E346F4"/>
    <w:rsid w:val="00E35336"/>
    <w:rsid w:val="00E3550F"/>
    <w:rsid w:val="00E35796"/>
    <w:rsid w:val="00E36054"/>
    <w:rsid w:val="00E365CF"/>
    <w:rsid w:val="00E366FC"/>
    <w:rsid w:val="00E367F7"/>
    <w:rsid w:val="00E369EE"/>
    <w:rsid w:val="00E373BA"/>
    <w:rsid w:val="00E37985"/>
    <w:rsid w:val="00E37D3F"/>
    <w:rsid w:val="00E40896"/>
    <w:rsid w:val="00E40E24"/>
    <w:rsid w:val="00E411D5"/>
    <w:rsid w:val="00E416C9"/>
    <w:rsid w:val="00E42071"/>
    <w:rsid w:val="00E42173"/>
    <w:rsid w:val="00E424D2"/>
    <w:rsid w:val="00E42CDC"/>
    <w:rsid w:val="00E43112"/>
    <w:rsid w:val="00E4319A"/>
    <w:rsid w:val="00E4320F"/>
    <w:rsid w:val="00E434FC"/>
    <w:rsid w:val="00E43ABE"/>
    <w:rsid w:val="00E44292"/>
    <w:rsid w:val="00E443DD"/>
    <w:rsid w:val="00E449CB"/>
    <w:rsid w:val="00E44ABC"/>
    <w:rsid w:val="00E450A9"/>
    <w:rsid w:val="00E451B9"/>
    <w:rsid w:val="00E45244"/>
    <w:rsid w:val="00E4559F"/>
    <w:rsid w:val="00E455B2"/>
    <w:rsid w:val="00E45770"/>
    <w:rsid w:val="00E45A10"/>
    <w:rsid w:val="00E45CED"/>
    <w:rsid w:val="00E45FF0"/>
    <w:rsid w:val="00E4611A"/>
    <w:rsid w:val="00E46320"/>
    <w:rsid w:val="00E466A1"/>
    <w:rsid w:val="00E46E44"/>
    <w:rsid w:val="00E47012"/>
    <w:rsid w:val="00E4767F"/>
    <w:rsid w:val="00E47D5F"/>
    <w:rsid w:val="00E50179"/>
    <w:rsid w:val="00E5045A"/>
    <w:rsid w:val="00E508A2"/>
    <w:rsid w:val="00E508E4"/>
    <w:rsid w:val="00E50919"/>
    <w:rsid w:val="00E510C8"/>
    <w:rsid w:val="00E51BD0"/>
    <w:rsid w:val="00E52DC7"/>
    <w:rsid w:val="00E53B03"/>
    <w:rsid w:val="00E53CBA"/>
    <w:rsid w:val="00E5480D"/>
    <w:rsid w:val="00E54867"/>
    <w:rsid w:val="00E54A97"/>
    <w:rsid w:val="00E54AE1"/>
    <w:rsid w:val="00E55339"/>
    <w:rsid w:val="00E5589D"/>
    <w:rsid w:val="00E55A52"/>
    <w:rsid w:val="00E55B6A"/>
    <w:rsid w:val="00E55B6E"/>
    <w:rsid w:val="00E55B80"/>
    <w:rsid w:val="00E55F0F"/>
    <w:rsid w:val="00E5629F"/>
    <w:rsid w:val="00E565A7"/>
    <w:rsid w:val="00E56602"/>
    <w:rsid w:val="00E567D4"/>
    <w:rsid w:val="00E56829"/>
    <w:rsid w:val="00E56AD3"/>
    <w:rsid w:val="00E56D39"/>
    <w:rsid w:val="00E5709A"/>
    <w:rsid w:val="00E570D3"/>
    <w:rsid w:val="00E572DD"/>
    <w:rsid w:val="00E57D93"/>
    <w:rsid w:val="00E606F7"/>
    <w:rsid w:val="00E60C4B"/>
    <w:rsid w:val="00E60DC0"/>
    <w:rsid w:val="00E60E9E"/>
    <w:rsid w:val="00E613C3"/>
    <w:rsid w:val="00E61B39"/>
    <w:rsid w:val="00E62626"/>
    <w:rsid w:val="00E62937"/>
    <w:rsid w:val="00E62B7D"/>
    <w:rsid w:val="00E6316D"/>
    <w:rsid w:val="00E6339F"/>
    <w:rsid w:val="00E63421"/>
    <w:rsid w:val="00E63475"/>
    <w:rsid w:val="00E638C4"/>
    <w:rsid w:val="00E63B92"/>
    <w:rsid w:val="00E63DB7"/>
    <w:rsid w:val="00E63F05"/>
    <w:rsid w:val="00E63F0C"/>
    <w:rsid w:val="00E6425E"/>
    <w:rsid w:val="00E64C31"/>
    <w:rsid w:val="00E65F8E"/>
    <w:rsid w:val="00E6608D"/>
    <w:rsid w:val="00E66737"/>
    <w:rsid w:val="00E66C16"/>
    <w:rsid w:val="00E66DD8"/>
    <w:rsid w:val="00E66ED8"/>
    <w:rsid w:val="00E670B4"/>
    <w:rsid w:val="00E678D5"/>
    <w:rsid w:val="00E706EF"/>
    <w:rsid w:val="00E70E9A"/>
    <w:rsid w:val="00E70F42"/>
    <w:rsid w:val="00E710F4"/>
    <w:rsid w:val="00E71B29"/>
    <w:rsid w:val="00E72156"/>
    <w:rsid w:val="00E72269"/>
    <w:rsid w:val="00E72448"/>
    <w:rsid w:val="00E72982"/>
    <w:rsid w:val="00E72FB3"/>
    <w:rsid w:val="00E733C3"/>
    <w:rsid w:val="00E737BE"/>
    <w:rsid w:val="00E740E5"/>
    <w:rsid w:val="00E74E94"/>
    <w:rsid w:val="00E74EF5"/>
    <w:rsid w:val="00E74EFC"/>
    <w:rsid w:val="00E751AF"/>
    <w:rsid w:val="00E75CC3"/>
    <w:rsid w:val="00E75DCC"/>
    <w:rsid w:val="00E75DF5"/>
    <w:rsid w:val="00E7610D"/>
    <w:rsid w:val="00E764B5"/>
    <w:rsid w:val="00E77443"/>
    <w:rsid w:val="00E77626"/>
    <w:rsid w:val="00E7780F"/>
    <w:rsid w:val="00E807D7"/>
    <w:rsid w:val="00E80A5A"/>
    <w:rsid w:val="00E80C9F"/>
    <w:rsid w:val="00E81165"/>
    <w:rsid w:val="00E81638"/>
    <w:rsid w:val="00E8166F"/>
    <w:rsid w:val="00E81C47"/>
    <w:rsid w:val="00E82015"/>
    <w:rsid w:val="00E820DD"/>
    <w:rsid w:val="00E822C6"/>
    <w:rsid w:val="00E82371"/>
    <w:rsid w:val="00E83C94"/>
    <w:rsid w:val="00E847FC"/>
    <w:rsid w:val="00E84B73"/>
    <w:rsid w:val="00E84BC8"/>
    <w:rsid w:val="00E85B70"/>
    <w:rsid w:val="00E85E1E"/>
    <w:rsid w:val="00E86547"/>
    <w:rsid w:val="00E86767"/>
    <w:rsid w:val="00E86E36"/>
    <w:rsid w:val="00E87182"/>
    <w:rsid w:val="00E878D6"/>
    <w:rsid w:val="00E87B98"/>
    <w:rsid w:val="00E87EDF"/>
    <w:rsid w:val="00E87FBD"/>
    <w:rsid w:val="00E9014E"/>
    <w:rsid w:val="00E9040F"/>
    <w:rsid w:val="00E90C05"/>
    <w:rsid w:val="00E90EF9"/>
    <w:rsid w:val="00E90F63"/>
    <w:rsid w:val="00E91102"/>
    <w:rsid w:val="00E91245"/>
    <w:rsid w:val="00E91802"/>
    <w:rsid w:val="00E918F6"/>
    <w:rsid w:val="00E91F5C"/>
    <w:rsid w:val="00E92287"/>
    <w:rsid w:val="00E92BBB"/>
    <w:rsid w:val="00E92E7C"/>
    <w:rsid w:val="00E930A2"/>
    <w:rsid w:val="00E93312"/>
    <w:rsid w:val="00E93504"/>
    <w:rsid w:val="00E9487C"/>
    <w:rsid w:val="00E948D2"/>
    <w:rsid w:val="00E94C08"/>
    <w:rsid w:val="00E95125"/>
    <w:rsid w:val="00E95EC6"/>
    <w:rsid w:val="00E96E66"/>
    <w:rsid w:val="00E976AA"/>
    <w:rsid w:val="00E9794E"/>
    <w:rsid w:val="00E979B9"/>
    <w:rsid w:val="00EA04D8"/>
    <w:rsid w:val="00EA0603"/>
    <w:rsid w:val="00EA0910"/>
    <w:rsid w:val="00EA153C"/>
    <w:rsid w:val="00EA1D5F"/>
    <w:rsid w:val="00EA24E6"/>
    <w:rsid w:val="00EA2A5B"/>
    <w:rsid w:val="00EA2A86"/>
    <w:rsid w:val="00EA2AFC"/>
    <w:rsid w:val="00EA375F"/>
    <w:rsid w:val="00EA475F"/>
    <w:rsid w:val="00EA484C"/>
    <w:rsid w:val="00EA4AA1"/>
    <w:rsid w:val="00EA500D"/>
    <w:rsid w:val="00EA5089"/>
    <w:rsid w:val="00EA52EA"/>
    <w:rsid w:val="00EA55AF"/>
    <w:rsid w:val="00EA56F9"/>
    <w:rsid w:val="00EA5868"/>
    <w:rsid w:val="00EA6822"/>
    <w:rsid w:val="00EA68C0"/>
    <w:rsid w:val="00EA6F2D"/>
    <w:rsid w:val="00EA7184"/>
    <w:rsid w:val="00EA740B"/>
    <w:rsid w:val="00EA7423"/>
    <w:rsid w:val="00EA7EB0"/>
    <w:rsid w:val="00EB04B9"/>
    <w:rsid w:val="00EB108A"/>
    <w:rsid w:val="00EB13F0"/>
    <w:rsid w:val="00EB197C"/>
    <w:rsid w:val="00EB254C"/>
    <w:rsid w:val="00EB25DA"/>
    <w:rsid w:val="00EB2692"/>
    <w:rsid w:val="00EB32DF"/>
    <w:rsid w:val="00EB33DA"/>
    <w:rsid w:val="00EB3416"/>
    <w:rsid w:val="00EB3521"/>
    <w:rsid w:val="00EB3E2D"/>
    <w:rsid w:val="00EB49C0"/>
    <w:rsid w:val="00EB543A"/>
    <w:rsid w:val="00EB56F0"/>
    <w:rsid w:val="00EB5CD5"/>
    <w:rsid w:val="00EB63A1"/>
    <w:rsid w:val="00EB65C7"/>
    <w:rsid w:val="00EB698C"/>
    <w:rsid w:val="00EB6A63"/>
    <w:rsid w:val="00EB7B92"/>
    <w:rsid w:val="00EB7F90"/>
    <w:rsid w:val="00EC042D"/>
    <w:rsid w:val="00EC05D5"/>
    <w:rsid w:val="00EC0A01"/>
    <w:rsid w:val="00EC0C52"/>
    <w:rsid w:val="00EC13CE"/>
    <w:rsid w:val="00EC141E"/>
    <w:rsid w:val="00EC16D1"/>
    <w:rsid w:val="00EC1C8C"/>
    <w:rsid w:val="00EC1FA0"/>
    <w:rsid w:val="00EC3068"/>
    <w:rsid w:val="00EC3619"/>
    <w:rsid w:val="00EC449A"/>
    <w:rsid w:val="00EC4D62"/>
    <w:rsid w:val="00EC528A"/>
    <w:rsid w:val="00EC5548"/>
    <w:rsid w:val="00EC558E"/>
    <w:rsid w:val="00EC59CC"/>
    <w:rsid w:val="00EC5FB2"/>
    <w:rsid w:val="00EC607A"/>
    <w:rsid w:val="00EC6176"/>
    <w:rsid w:val="00EC64A2"/>
    <w:rsid w:val="00EC68DD"/>
    <w:rsid w:val="00EC734C"/>
    <w:rsid w:val="00EC745D"/>
    <w:rsid w:val="00EC7E8E"/>
    <w:rsid w:val="00EC7FEE"/>
    <w:rsid w:val="00ED0405"/>
    <w:rsid w:val="00ED1188"/>
    <w:rsid w:val="00ED11C5"/>
    <w:rsid w:val="00ED1975"/>
    <w:rsid w:val="00ED25D4"/>
    <w:rsid w:val="00ED2C79"/>
    <w:rsid w:val="00ED2D28"/>
    <w:rsid w:val="00ED326E"/>
    <w:rsid w:val="00ED346A"/>
    <w:rsid w:val="00ED34F7"/>
    <w:rsid w:val="00ED37F5"/>
    <w:rsid w:val="00ED3964"/>
    <w:rsid w:val="00ED3A94"/>
    <w:rsid w:val="00ED3FB4"/>
    <w:rsid w:val="00ED475E"/>
    <w:rsid w:val="00ED4989"/>
    <w:rsid w:val="00ED4BDF"/>
    <w:rsid w:val="00ED5B20"/>
    <w:rsid w:val="00ED651D"/>
    <w:rsid w:val="00ED694D"/>
    <w:rsid w:val="00ED7210"/>
    <w:rsid w:val="00ED76AD"/>
    <w:rsid w:val="00ED78C8"/>
    <w:rsid w:val="00ED78CF"/>
    <w:rsid w:val="00EE03A4"/>
    <w:rsid w:val="00EE045F"/>
    <w:rsid w:val="00EE0FE6"/>
    <w:rsid w:val="00EE1253"/>
    <w:rsid w:val="00EE12B7"/>
    <w:rsid w:val="00EE14AC"/>
    <w:rsid w:val="00EE1E9E"/>
    <w:rsid w:val="00EE2242"/>
    <w:rsid w:val="00EE2B29"/>
    <w:rsid w:val="00EE37C0"/>
    <w:rsid w:val="00EE382F"/>
    <w:rsid w:val="00EE3995"/>
    <w:rsid w:val="00EE3B03"/>
    <w:rsid w:val="00EE3C20"/>
    <w:rsid w:val="00EE422D"/>
    <w:rsid w:val="00EE45AC"/>
    <w:rsid w:val="00EE56D1"/>
    <w:rsid w:val="00EE57FA"/>
    <w:rsid w:val="00EE5825"/>
    <w:rsid w:val="00EE5F92"/>
    <w:rsid w:val="00EE5FDC"/>
    <w:rsid w:val="00EE64DB"/>
    <w:rsid w:val="00EE728F"/>
    <w:rsid w:val="00EF045F"/>
    <w:rsid w:val="00EF049F"/>
    <w:rsid w:val="00EF052F"/>
    <w:rsid w:val="00EF079B"/>
    <w:rsid w:val="00EF21AA"/>
    <w:rsid w:val="00EF2228"/>
    <w:rsid w:val="00EF26CE"/>
    <w:rsid w:val="00EF28EB"/>
    <w:rsid w:val="00EF2B75"/>
    <w:rsid w:val="00EF3146"/>
    <w:rsid w:val="00EF3382"/>
    <w:rsid w:val="00EF3A5C"/>
    <w:rsid w:val="00EF46D7"/>
    <w:rsid w:val="00EF4855"/>
    <w:rsid w:val="00EF4C46"/>
    <w:rsid w:val="00EF4F50"/>
    <w:rsid w:val="00EF5366"/>
    <w:rsid w:val="00EF57D2"/>
    <w:rsid w:val="00EF5804"/>
    <w:rsid w:val="00EF599C"/>
    <w:rsid w:val="00EF6134"/>
    <w:rsid w:val="00EF691C"/>
    <w:rsid w:val="00EF6E73"/>
    <w:rsid w:val="00EF7806"/>
    <w:rsid w:val="00EF7B7B"/>
    <w:rsid w:val="00EF7FE0"/>
    <w:rsid w:val="00F0007D"/>
    <w:rsid w:val="00F00625"/>
    <w:rsid w:val="00F00E06"/>
    <w:rsid w:val="00F0109C"/>
    <w:rsid w:val="00F0171A"/>
    <w:rsid w:val="00F01A34"/>
    <w:rsid w:val="00F01E4F"/>
    <w:rsid w:val="00F02482"/>
    <w:rsid w:val="00F0290A"/>
    <w:rsid w:val="00F02A21"/>
    <w:rsid w:val="00F02C8D"/>
    <w:rsid w:val="00F02D90"/>
    <w:rsid w:val="00F02E3B"/>
    <w:rsid w:val="00F02F98"/>
    <w:rsid w:val="00F0324A"/>
    <w:rsid w:val="00F0362A"/>
    <w:rsid w:val="00F037DD"/>
    <w:rsid w:val="00F03D32"/>
    <w:rsid w:val="00F0433B"/>
    <w:rsid w:val="00F04A7E"/>
    <w:rsid w:val="00F04C36"/>
    <w:rsid w:val="00F04D7F"/>
    <w:rsid w:val="00F055F2"/>
    <w:rsid w:val="00F05673"/>
    <w:rsid w:val="00F06A96"/>
    <w:rsid w:val="00F07CE9"/>
    <w:rsid w:val="00F07D31"/>
    <w:rsid w:val="00F07DD7"/>
    <w:rsid w:val="00F07F14"/>
    <w:rsid w:val="00F1009F"/>
    <w:rsid w:val="00F101C0"/>
    <w:rsid w:val="00F10D62"/>
    <w:rsid w:val="00F112A7"/>
    <w:rsid w:val="00F11308"/>
    <w:rsid w:val="00F115F8"/>
    <w:rsid w:val="00F11854"/>
    <w:rsid w:val="00F11ADE"/>
    <w:rsid w:val="00F11DA3"/>
    <w:rsid w:val="00F127EF"/>
    <w:rsid w:val="00F12EBE"/>
    <w:rsid w:val="00F13152"/>
    <w:rsid w:val="00F132CE"/>
    <w:rsid w:val="00F133F8"/>
    <w:rsid w:val="00F136F6"/>
    <w:rsid w:val="00F13E0D"/>
    <w:rsid w:val="00F1469B"/>
    <w:rsid w:val="00F15F40"/>
    <w:rsid w:val="00F15F6E"/>
    <w:rsid w:val="00F16C80"/>
    <w:rsid w:val="00F16D1A"/>
    <w:rsid w:val="00F173BE"/>
    <w:rsid w:val="00F2031C"/>
    <w:rsid w:val="00F2078B"/>
    <w:rsid w:val="00F20952"/>
    <w:rsid w:val="00F20FEA"/>
    <w:rsid w:val="00F214C5"/>
    <w:rsid w:val="00F21BE1"/>
    <w:rsid w:val="00F21ED4"/>
    <w:rsid w:val="00F22506"/>
    <w:rsid w:val="00F232F1"/>
    <w:rsid w:val="00F236B9"/>
    <w:rsid w:val="00F2399C"/>
    <w:rsid w:val="00F23EB1"/>
    <w:rsid w:val="00F24365"/>
    <w:rsid w:val="00F2461E"/>
    <w:rsid w:val="00F24BC1"/>
    <w:rsid w:val="00F24EFF"/>
    <w:rsid w:val="00F259C0"/>
    <w:rsid w:val="00F25CCB"/>
    <w:rsid w:val="00F266C6"/>
    <w:rsid w:val="00F267EA"/>
    <w:rsid w:val="00F2689E"/>
    <w:rsid w:val="00F26A25"/>
    <w:rsid w:val="00F26C07"/>
    <w:rsid w:val="00F26CBE"/>
    <w:rsid w:val="00F274E5"/>
    <w:rsid w:val="00F276C5"/>
    <w:rsid w:val="00F2795E"/>
    <w:rsid w:val="00F27D0A"/>
    <w:rsid w:val="00F302AD"/>
    <w:rsid w:val="00F30C8C"/>
    <w:rsid w:val="00F30D74"/>
    <w:rsid w:val="00F30FD8"/>
    <w:rsid w:val="00F31736"/>
    <w:rsid w:val="00F31E82"/>
    <w:rsid w:val="00F340AF"/>
    <w:rsid w:val="00F3450F"/>
    <w:rsid w:val="00F3484B"/>
    <w:rsid w:val="00F34A0B"/>
    <w:rsid w:val="00F354E6"/>
    <w:rsid w:val="00F35A61"/>
    <w:rsid w:val="00F35F7C"/>
    <w:rsid w:val="00F364FC"/>
    <w:rsid w:val="00F3668A"/>
    <w:rsid w:val="00F366C0"/>
    <w:rsid w:val="00F36E56"/>
    <w:rsid w:val="00F370A9"/>
    <w:rsid w:val="00F37577"/>
    <w:rsid w:val="00F37EA5"/>
    <w:rsid w:val="00F401F4"/>
    <w:rsid w:val="00F4023E"/>
    <w:rsid w:val="00F40573"/>
    <w:rsid w:val="00F408D3"/>
    <w:rsid w:val="00F40A7B"/>
    <w:rsid w:val="00F40BB7"/>
    <w:rsid w:val="00F40C7F"/>
    <w:rsid w:val="00F410D0"/>
    <w:rsid w:val="00F418DC"/>
    <w:rsid w:val="00F42396"/>
    <w:rsid w:val="00F42450"/>
    <w:rsid w:val="00F42D89"/>
    <w:rsid w:val="00F43033"/>
    <w:rsid w:val="00F43445"/>
    <w:rsid w:val="00F43B98"/>
    <w:rsid w:val="00F43E14"/>
    <w:rsid w:val="00F44982"/>
    <w:rsid w:val="00F44BFC"/>
    <w:rsid w:val="00F44CC2"/>
    <w:rsid w:val="00F453E0"/>
    <w:rsid w:val="00F45523"/>
    <w:rsid w:val="00F45F05"/>
    <w:rsid w:val="00F45F26"/>
    <w:rsid w:val="00F4656C"/>
    <w:rsid w:val="00F468EF"/>
    <w:rsid w:val="00F46DB8"/>
    <w:rsid w:val="00F46E0D"/>
    <w:rsid w:val="00F46EE6"/>
    <w:rsid w:val="00F46FE0"/>
    <w:rsid w:val="00F47058"/>
    <w:rsid w:val="00F47261"/>
    <w:rsid w:val="00F472DC"/>
    <w:rsid w:val="00F47B72"/>
    <w:rsid w:val="00F47E61"/>
    <w:rsid w:val="00F47ECF"/>
    <w:rsid w:val="00F500A7"/>
    <w:rsid w:val="00F503D0"/>
    <w:rsid w:val="00F50C88"/>
    <w:rsid w:val="00F50FF4"/>
    <w:rsid w:val="00F51560"/>
    <w:rsid w:val="00F51612"/>
    <w:rsid w:val="00F5175D"/>
    <w:rsid w:val="00F51770"/>
    <w:rsid w:val="00F52026"/>
    <w:rsid w:val="00F520D2"/>
    <w:rsid w:val="00F530FE"/>
    <w:rsid w:val="00F545CC"/>
    <w:rsid w:val="00F546DD"/>
    <w:rsid w:val="00F54D26"/>
    <w:rsid w:val="00F54E9F"/>
    <w:rsid w:val="00F550A1"/>
    <w:rsid w:val="00F55807"/>
    <w:rsid w:val="00F55B57"/>
    <w:rsid w:val="00F55E92"/>
    <w:rsid w:val="00F55FD5"/>
    <w:rsid w:val="00F5624A"/>
    <w:rsid w:val="00F56526"/>
    <w:rsid w:val="00F5682C"/>
    <w:rsid w:val="00F5699B"/>
    <w:rsid w:val="00F5717D"/>
    <w:rsid w:val="00F574FD"/>
    <w:rsid w:val="00F57A39"/>
    <w:rsid w:val="00F6062C"/>
    <w:rsid w:val="00F60ACA"/>
    <w:rsid w:val="00F60F60"/>
    <w:rsid w:val="00F6142A"/>
    <w:rsid w:val="00F61655"/>
    <w:rsid w:val="00F6174C"/>
    <w:rsid w:val="00F61AAC"/>
    <w:rsid w:val="00F62548"/>
    <w:rsid w:val="00F62A6C"/>
    <w:rsid w:val="00F63175"/>
    <w:rsid w:val="00F63389"/>
    <w:rsid w:val="00F634AC"/>
    <w:rsid w:val="00F635EE"/>
    <w:rsid w:val="00F63839"/>
    <w:rsid w:val="00F63C3F"/>
    <w:rsid w:val="00F64004"/>
    <w:rsid w:val="00F641F7"/>
    <w:rsid w:val="00F642FD"/>
    <w:rsid w:val="00F64606"/>
    <w:rsid w:val="00F65873"/>
    <w:rsid w:val="00F65921"/>
    <w:rsid w:val="00F65AA7"/>
    <w:rsid w:val="00F66294"/>
    <w:rsid w:val="00F6672D"/>
    <w:rsid w:val="00F669C5"/>
    <w:rsid w:val="00F66FC5"/>
    <w:rsid w:val="00F7093F"/>
    <w:rsid w:val="00F70C78"/>
    <w:rsid w:val="00F71A87"/>
    <w:rsid w:val="00F71B06"/>
    <w:rsid w:val="00F72558"/>
    <w:rsid w:val="00F725CA"/>
    <w:rsid w:val="00F72664"/>
    <w:rsid w:val="00F72DB8"/>
    <w:rsid w:val="00F73C41"/>
    <w:rsid w:val="00F742C0"/>
    <w:rsid w:val="00F746D0"/>
    <w:rsid w:val="00F75BC3"/>
    <w:rsid w:val="00F75D31"/>
    <w:rsid w:val="00F7623A"/>
    <w:rsid w:val="00F766EC"/>
    <w:rsid w:val="00F76D15"/>
    <w:rsid w:val="00F76E2F"/>
    <w:rsid w:val="00F770C1"/>
    <w:rsid w:val="00F7719D"/>
    <w:rsid w:val="00F7741F"/>
    <w:rsid w:val="00F77C78"/>
    <w:rsid w:val="00F80302"/>
    <w:rsid w:val="00F806C6"/>
    <w:rsid w:val="00F80752"/>
    <w:rsid w:val="00F80D66"/>
    <w:rsid w:val="00F80D67"/>
    <w:rsid w:val="00F814BD"/>
    <w:rsid w:val="00F81CEB"/>
    <w:rsid w:val="00F822BA"/>
    <w:rsid w:val="00F82564"/>
    <w:rsid w:val="00F829C4"/>
    <w:rsid w:val="00F82E88"/>
    <w:rsid w:val="00F82F6B"/>
    <w:rsid w:val="00F83017"/>
    <w:rsid w:val="00F831FA"/>
    <w:rsid w:val="00F83DAA"/>
    <w:rsid w:val="00F83FDB"/>
    <w:rsid w:val="00F852E4"/>
    <w:rsid w:val="00F85D26"/>
    <w:rsid w:val="00F86497"/>
    <w:rsid w:val="00F865A5"/>
    <w:rsid w:val="00F87218"/>
    <w:rsid w:val="00F87273"/>
    <w:rsid w:val="00F87A21"/>
    <w:rsid w:val="00F87C47"/>
    <w:rsid w:val="00F87EE5"/>
    <w:rsid w:val="00F90881"/>
    <w:rsid w:val="00F90D09"/>
    <w:rsid w:val="00F9106E"/>
    <w:rsid w:val="00F910EA"/>
    <w:rsid w:val="00F91FAE"/>
    <w:rsid w:val="00F921A0"/>
    <w:rsid w:val="00F924BE"/>
    <w:rsid w:val="00F92D91"/>
    <w:rsid w:val="00F93189"/>
    <w:rsid w:val="00F93573"/>
    <w:rsid w:val="00F939DC"/>
    <w:rsid w:val="00F93FC4"/>
    <w:rsid w:val="00F945DE"/>
    <w:rsid w:val="00F94ABF"/>
    <w:rsid w:val="00F95184"/>
    <w:rsid w:val="00F955A5"/>
    <w:rsid w:val="00F95BAF"/>
    <w:rsid w:val="00F95C65"/>
    <w:rsid w:val="00F95FFB"/>
    <w:rsid w:val="00F9683B"/>
    <w:rsid w:val="00F96E53"/>
    <w:rsid w:val="00FA05EA"/>
    <w:rsid w:val="00FA0852"/>
    <w:rsid w:val="00FA0EC3"/>
    <w:rsid w:val="00FA1465"/>
    <w:rsid w:val="00FA1532"/>
    <w:rsid w:val="00FA1D2A"/>
    <w:rsid w:val="00FA2318"/>
    <w:rsid w:val="00FA2391"/>
    <w:rsid w:val="00FA2569"/>
    <w:rsid w:val="00FA25F3"/>
    <w:rsid w:val="00FA2725"/>
    <w:rsid w:val="00FA2A08"/>
    <w:rsid w:val="00FA335E"/>
    <w:rsid w:val="00FA356B"/>
    <w:rsid w:val="00FA378C"/>
    <w:rsid w:val="00FA3E71"/>
    <w:rsid w:val="00FA3EBE"/>
    <w:rsid w:val="00FA4470"/>
    <w:rsid w:val="00FA455B"/>
    <w:rsid w:val="00FA465C"/>
    <w:rsid w:val="00FA4B37"/>
    <w:rsid w:val="00FA4C9D"/>
    <w:rsid w:val="00FA54D3"/>
    <w:rsid w:val="00FA54FF"/>
    <w:rsid w:val="00FA591B"/>
    <w:rsid w:val="00FA5AA3"/>
    <w:rsid w:val="00FA5CE7"/>
    <w:rsid w:val="00FA5F03"/>
    <w:rsid w:val="00FA616D"/>
    <w:rsid w:val="00FA6175"/>
    <w:rsid w:val="00FA67A2"/>
    <w:rsid w:val="00FA698E"/>
    <w:rsid w:val="00FA69A2"/>
    <w:rsid w:val="00FA6A3D"/>
    <w:rsid w:val="00FA71AF"/>
    <w:rsid w:val="00FA74FA"/>
    <w:rsid w:val="00FA7638"/>
    <w:rsid w:val="00FA7740"/>
    <w:rsid w:val="00FA7814"/>
    <w:rsid w:val="00FB005C"/>
    <w:rsid w:val="00FB014A"/>
    <w:rsid w:val="00FB043F"/>
    <w:rsid w:val="00FB0499"/>
    <w:rsid w:val="00FB05A7"/>
    <w:rsid w:val="00FB116C"/>
    <w:rsid w:val="00FB1497"/>
    <w:rsid w:val="00FB1AFB"/>
    <w:rsid w:val="00FB1B10"/>
    <w:rsid w:val="00FB2070"/>
    <w:rsid w:val="00FB2780"/>
    <w:rsid w:val="00FB32DE"/>
    <w:rsid w:val="00FB358D"/>
    <w:rsid w:val="00FB3C9C"/>
    <w:rsid w:val="00FB3D9E"/>
    <w:rsid w:val="00FB43B3"/>
    <w:rsid w:val="00FB4897"/>
    <w:rsid w:val="00FB4C41"/>
    <w:rsid w:val="00FB4D25"/>
    <w:rsid w:val="00FB5510"/>
    <w:rsid w:val="00FB5857"/>
    <w:rsid w:val="00FB58F2"/>
    <w:rsid w:val="00FB5A46"/>
    <w:rsid w:val="00FB5D0C"/>
    <w:rsid w:val="00FB63A8"/>
    <w:rsid w:val="00FB64E1"/>
    <w:rsid w:val="00FB68D8"/>
    <w:rsid w:val="00FB6A35"/>
    <w:rsid w:val="00FB6B61"/>
    <w:rsid w:val="00FB6D55"/>
    <w:rsid w:val="00FB72F9"/>
    <w:rsid w:val="00FB7A58"/>
    <w:rsid w:val="00FC1461"/>
    <w:rsid w:val="00FC1594"/>
    <w:rsid w:val="00FC18A5"/>
    <w:rsid w:val="00FC1A32"/>
    <w:rsid w:val="00FC1F8D"/>
    <w:rsid w:val="00FC2187"/>
    <w:rsid w:val="00FC235F"/>
    <w:rsid w:val="00FC2A7C"/>
    <w:rsid w:val="00FC320D"/>
    <w:rsid w:val="00FC4861"/>
    <w:rsid w:val="00FC49C6"/>
    <w:rsid w:val="00FC4DCA"/>
    <w:rsid w:val="00FC53F3"/>
    <w:rsid w:val="00FC575C"/>
    <w:rsid w:val="00FC5A32"/>
    <w:rsid w:val="00FC5C30"/>
    <w:rsid w:val="00FC5F8E"/>
    <w:rsid w:val="00FC63F6"/>
    <w:rsid w:val="00FC6F28"/>
    <w:rsid w:val="00FC77C5"/>
    <w:rsid w:val="00FC7BC2"/>
    <w:rsid w:val="00FD12E5"/>
    <w:rsid w:val="00FD1391"/>
    <w:rsid w:val="00FD14AD"/>
    <w:rsid w:val="00FD153C"/>
    <w:rsid w:val="00FD16C0"/>
    <w:rsid w:val="00FD1C4A"/>
    <w:rsid w:val="00FD23AA"/>
    <w:rsid w:val="00FD248F"/>
    <w:rsid w:val="00FD2695"/>
    <w:rsid w:val="00FD2C96"/>
    <w:rsid w:val="00FD2CD7"/>
    <w:rsid w:val="00FD35E8"/>
    <w:rsid w:val="00FD3945"/>
    <w:rsid w:val="00FD3A08"/>
    <w:rsid w:val="00FD4110"/>
    <w:rsid w:val="00FD4156"/>
    <w:rsid w:val="00FD4621"/>
    <w:rsid w:val="00FD58BF"/>
    <w:rsid w:val="00FD592C"/>
    <w:rsid w:val="00FD6449"/>
    <w:rsid w:val="00FD6D01"/>
    <w:rsid w:val="00FD6FF7"/>
    <w:rsid w:val="00FD73B4"/>
    <w:rsid w:val="00FD7C70"/>
    <w:rsid w:val="00FD7E02"/>
    <w:rsid w:val="00FD7E89"/>
    <w:rsid w:val="00FE0063"/>
    <w:rsid w:val="00FE01A7"/>
    <w:rsid w:val="00FE08AA"/>
    <w:rsid w:val="00FE137F"/>
    <w:rsid w:val="00FE15F0"/>
    <w:rsid w:val="00FE237F"/>
    <w:rsid w:val="00FE256A"/>
    <w:rsid w:val="00FE27E4"/>
    <w:rsid w:val="00FE28F8"/>
    <w:rsid w:val="00FE2DD4"/>
    <w:rsid w:val="00FE3AAD"/>
    <w:rsid w:val="00FE3CF9"/>
    <w:rsid w:val="00FE3DAB"/>
    <w:rsid w:val="00FE42E3"/>
    <w:rsid w:val="00FE57ED"/>
    <w:rsid w:val="00FE58D5"/>
    <w:rsid w:val="00FE5C71"/>
    <w:rsid w:val="00FE6449"/>
    <w:rsid w:val="00FE6656"/>
    <w:rsid w:val="00FE7078"/>
    <w:rsid w:val="00FE72D0"/>
    <w:rsid w:val="00FE767D"/>
    <w:rsid w:val="00FE7B8F"/>
    <w:rsid w:val="00FE7D02"/>
    <w:rsid w:val="00FF043C"/>
    <w:rsid w:val="00FF0514"/>
    <w:rsid w:val="00FF0777"/>
    <w:rsid w:val="00FF12CA"/>
    <w:rsid w:val="00FF1426"/>
    <w:rsid w:val="00FF16FB"/>
    <w:rsid w:val="00FF20C7"/>
    <w:rsid w:val="00FF2A42"/>
    <w:rsid w:val="00FF2B66"/>
    <w:rsid w:val="00FF2D99"/>
    <w:rsid w:val="00FF3AC2"/>
    <w:rsid w:val="00FF4119"/>
    <w:rsid w:val="00FF4705"/>
    <w:rsid w:val="00FF4903"/>
    <w:rsid w:val="00FF5304"/>
    <w:rsid w:val="00FF5408"/>
    <w:rsid w:val="00FF5AB7"/>
    <w:rsid w:val="00FF64B9"/>
    <w:rsid w:val="00FF65C5"/>
    <w:rsid w:val="00FF699E"/>
    <w:rsid w:val="00FF6C54"/>
    <w:rsid w:val="00FF773B"/>
    <w:rsid w:val="00FF7D56"/>
    <w:rsid w:val="0EFD7412"/>
    <w:rsid w:val="133E3512"/>
    <w:rsid w:val="152A7CC3"/>
    <w:rsid w:val="40935D33"/>
    <w:rsid w:val="4C651A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qFormat="1" w:unhideWhenUsed="0" w:uiPriority="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97"/>
    <w:qFormat/>
    <w:uiPriority w:val="9"/>
    <w:pPr>
      <w:keepNext/>
      <w:spacing w:line="360" w:lineRule="auto"/>
      <w:jc w:val="right"/>
      <w:outlineLvl w:val="0"/>
    </w:pPr>
    <w:rPr>
      <w:i/>
      <w:iCs/>
    </w:rPr>
  </w:style>
  <w:style w:type="paragraph" w:styleId="3">
    <w:name w:val="heading 2"/>
    <w:basedOn w:val="1"/>
    <w:next w:val="1"/>
    <w:link w:val="98"/>
    <w:qFormat/>
    <w:uiPriority w:val="9"/>
    <w:pPr>
      <w:keepNext/>
      <w:spacing w:line="360" w:lineRule="auto"/>
      <w:outlineLvl w:val="1"/>
    </w:pPr>
    <w:rPr>
      <w:i/>
      <w:iCs/>
    </w:rPr>
  </w:style>
  <w:style w:type="paragraph" w:styleId="4">
    <w:name w:val="heading 3"/>
    <w:basedOn w:val="1"/>
    <w:next w:val="1"/>
    <w:link w:val="8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90"/>
    <w:semiHidden/>
    <w:unhideWhenUs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91"/>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92"/>
    <w:semiHidden/>
    <w:unhideWhenUsed/>
    <w:qFormat/>
    <w:uiPriority w:val="9"/>
    <w:pPr>
      <w:keepNext/>
      <w:keepLines/>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93"/>
    <w:semiHidden/>
    <w:unhideWhenUsed/>
    <w:qFormat/>
    <w:uiPriority w:val="9"/>
    <w:pPr>
      <w:keepNext/>
      <w:keepLines/>
      <w:spacing w:before="240" w:after="64" w:line="320" w:lineRule="auto"/>
      <w:outlineLvl w:val="6"/>
    </w:pPr>
    <w:rPr>
      <w:b/>
      <w:bCs/>
    </w:rPr>
  </w:style>
  <w:style w:type="paragraph" w:styleId="9">
    <w:name w:val="heading 8"/>
    <w:basedOn w:val="1"/>
    <w:next w:val="1"/>
    <w:link w:val="94"/>
    <w:semiHidden/>
    <w:unhideWhenUsed/>
    <w:qFormat/>
    <w:uiPriority w:val="9"/>
    <w:pPr>
      <w:keepNext/>
      <w:keepLines/>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95"/>
    <w:semiHidden/>
    <w:unhideWhenUsed/>
    <w:qFormat/>
    <w:uiPriority w:val="9"/>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33">
    <w:name w:val="Default Paragraph Font"/>
    <w:semiHidden/>
    <w:unhideWhenUsed/>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Theme="minorHAnsi" w:hAnsiTheme="minorHAnsi" w:eastAsiaTheme="minorEastAsia" w:cstheme="minorBidi"/>
      <w:sz w:val="21"/>
      <w:szCs w:val="22"/>
    </w:rPr>
  </w:style>
  <w:style w:type="paragraph" w:styleId="12">
    <w:name w:val="Document Map"/>
    <w:basedOn w:val="1"/>
    <w:semiHidden/>
    <w:qFormat/>
    <w:uiPriority w:val="0"/>
    <w:pPr>
      <w:shd w:val="clear" w:color="auto" w:fill="000080"/>
    </w:pPr>
  </w:style>
  <w:style w:type="paragraph" w:styleId="13">
    <w:name w:val="annotation text"/>
    <w:basedOn w:val="1"/>
    <w:link w:val="75"/>
    <w:qFormat/>
    <w:uiPriority w:val="0"/>
    <w:pPr>
      <w:jc w:val="left"/>
    </w:pPr>
  </w:style>
  <w:style w:type="paragraph" w:styleId="14">
    <w:name w:val="Body Text"/>
    <w:basedOn w:val="1"/>
    <w:link w:val="39"/>
    <w:qFormat/>
    <w:uiPriority w:val="0"/>
    <w:pPr>
      <w:spacing w:line="360" w:lineRule="auto"/>
    </w:pPr>
  </w:style>
  <w:style w:type="paragraph" w:styleId="15">
    <w:name w:val="Body Text Indent"/>
    <w:basedOn w:val="1"/>
    <w:link w:val="41"/>
    <w:semiHidden/>
    <w:qFormat/>
    <w:uiPriority w:val="0"/>
    <w:pPr>
      <w:spacing w:line="460" w:lineRule="exact"/>
      <w:ind w:firstLine="480"/>
    </w:pPr>
    <w:rPr>
      <w:szCs w:val="20"/>
    </w:rPr>
  </w:style>
  <w:style w:type="paragraph" w:styleId="16">
    <w:name w:val="toc 5"/>
    <w:basedOn w:val="1"/>
    <w:next w:val="1"/>
    <w:unhideWhenUsed/>
    <w:qFormat/>
    <w:uiPriority w:val="39"/>
    <w:pPr>
      <w:ind w:left="1680" w:leftChars="800"/>
    </w:pPr>
    <w:rPr>
      <w:rFonts w:asciiTheme="minorHAnsi" w:hAnsiTheme="minorHAnsi" w:eastAsiaTheme="minorEastAsia" w:cstheme="minorBidi"/>
      <w:sz w:val="21"/>
      <w:szCs w:val="22"/>
    </w:rPr>
  </w:style>
  <w:style w:type="paragraph" w:styleId="17">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8">
    <w:name w:val="Plain Text"/>
    <w:basedOn w:val="1"/>
    <w:link w:val="38"/>
    <w:qFormat/>
    <w:uiPriority w:val="0"/>
    <w:rPr>
      <w:rFonts w:ascii="宋体" w:hAnsi="Courier New"/>
      <w:sz w:val="21"/>
      <w:szCs w:val="20"/>
    </w:rPr>
  </w:style>
  <w:style w:type="paragraph" w:styleId="19">
    <w:name w:val="toc 8"/>
    <w:basedOn w:val="1"/>
    <w:next w:val="1"/>
    <w:unhideWhenUsed/>
    <w:qFormat/>
    <w:uiPriority w:val="39"/>
    <w:pPr>
      <w:ind w:left="2940" w:leftChars="1400"/>
    </w:pPr>
    <w:rPr>
      <w:rFonts w:asciiTheme="minorHAnsi" w:hAnsiTheme="minorHAnsi" w:eastAsiaTheme="minorEastAsia" w:cstheme="minorBidi"/>
      <w:sz w:val="21"/>
      <w:szCs w:val="22"/>
    </w:rPr>
  </w:style>
  <w:style w:type="paragraph" w:styleId="20">
    <w:name w:val="Date"/>
    <w:basedOn w:val="1"/>
    <w:next w:val="1"/>
    <w:link w:val="42"/>
    <w:semiHidden/>
    <w:qFormat/>
    <w:uiPriority w:val="0"/>
    <w:rPr>
      <w:b/>
      <w:szCs w:val="20"/>
    </w:rPr>
  </w:style>
  <w:style w:type="paragraph" w:styleId="21">
    <w:name w:val="Balloon Text"/>
    <w:basedOn w:val="1"/>
    <w:semiHidden/>
    <w:qFormat/>
    <w:uiPriority w:val="0"/>
    <w:rPr>
      <w:sz w:val="18"/>
      <w:szCs w:val="18"/>
    </w:rPr>
  </w:style>
  <w:style w:type="paragraph" w:styleId="22">
    <w:name w:val="footer"/>
    <w:basedOn w:val="1"/>
    <w:link w:val="40"/>
    <w:qFormat/>
    <w:uiPriority w:val="99"/>
    <w:pPr>
      <w:tabs>
        <w:tab w:val="center" w:pos="4153"/>
        <w:tab w:val="right" w:pos="8306"/>
      </w:tabs>
      <w:snapToGrid w:val="0"/>
      <w:jc w:val="left"/>
    </w:pPr>
    <w:rPr>
      <w:sz w:val="18"/>
      <w:szCs w:val="18"/>
    </w:rPr>
  </w:style>
  <w:style w:type="paragraph" w:styleId="23">
    <w:name w:val="header"/>
    <w:basedOn w:val="1"/>
    <w:link w:val="72"/>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toc 4"/>
    <w:basedOn w:val="1"/>
    <w:next w:val="1"/>
    <w:qFormat/>
    <w:uiPriority w:val="39"/>
    <w:pPr>
      <w:ind w:left="1260" w:leftChars="600"/>
    </w:pPr>
    <w:rPr>
      <w:sz w:val="21"/>
    </w:rPr>
  </w:style>
  <w:style w:type="paragraph" w:styleId="26">
    <w:name w:val="toc 6"/>
    <w:basedOn w:val="1"/>
    <w:next w:val="1"/>
    <w:unhideWhenUsed/>
    <w:qFormat/>
    <w:uiPriority w:val="39"/>
    <w:pPr>
      <w:ind w:left="2100" w:leftChars="1000"/>
    </w:pPr>
    <w:rPr>
      <w:rFonts w:asciiTheme="minorHAnsi" w:hAnsiTheme="minorHAnsi" w:eastAsiaTheme="minorEastAsia" w:cstheme="minorBidi"/>
      <w:sz w:val="21"/>
      <w:szCs w:val="22"/>
    </w:rPr>
  </w:style>
  <w:style w:type="paragraph" w:styleId="27">
    <w:name w:val="toc 2"/>
    <w:basedOn w:val="1"/>
    <w:next w:val="1"/>
    <w:qFormat/>
    <w:uiPriority w:val="39"/>
    <w:pPr>
      <w:ind w:left="420" w:leftChars="200"/>
    </w:pPr>
  </w:style>
  <w:style w:type="paragraph" w:styleId="28">
    <w:name w:val="toc 9"/>
    <w:basedOn w:val="1"/>
    <w:next w:val="1"/>
    <w:unhideWhenUsed/>
    <w:qFormat/>
    <w:uiPriority w:val="39"/>
    <w:pPr>
      <w:ind w:left="3360" w:leftChars="1600"/>
    </w:pPr>
    <w:rPr>
      <w:rFonts w:asciiTheme="minorHAnsi" w:hAnsiTheme="minorHAnsi" w:eastAsiaTheme="minorEastAsia" w:cstheme="minorBidi"/>
      <w:sz w:val="21"/>
      <w:szCs w:val="22"/>
    </w:rPr>
  </w:style>
  <w:style w:type="paragraph" w:styleId="29">
    <w:name w:val="Body Text 2"/>
    <w:basedOn w:val="1"/>
    <w:semiHidden/>
    <w:qFormat/>
    <w:uiPriority w:val="0"/>
    <w:pPr>
      <w:spacing w:line="360" w:lineRule="auto"/>
      <w:jc w:val="right"/>
    </w:pPr>
    <w:rPr>
      <w:spacing w:val="-20"/>
    </w:rPr>
  </w:style>
  <w:style w:type="paragraph" w:styleId="30">
    <w:name w:val="annotation subject"/>
    <w:basedOn w:val="13"/>
    <w:next w:val="13"/>
    <w:semiHidden/>
    <w:qFormat/>
    <w:uiPriority w:val="0"/>
    <w:rPr>
      <w:b/>
      <w:bCs/>
    </w:r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4">
    <w:name w:val="Strong"/>
    <w:basedOn w:val="33"/>
    <w:qFormat/>
    <w:uiPriority w:val="22"/>
    <w:rPr>
      <w:b/>
      <w:bCs/>
    </w:rPr>
  </w:style>
  <w:style w:type="character" w:styleId="35">
    <w:name w:val="page number"/>
    <w:basedOn w:val="33"/>
    <w:semiHidden/>
    <w:qFormat/>
    <w:uiPriority w:val="0"/>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纯文本 Char"/>
    <w:link w:val="18"/>
    <w:qFormat/>
    <w:uiPriority w:val="0"/>
    <w:rPr>
      <w:rFonts w:ascii="宋体" w:hAnsi="Courier New"/>
      <w:kern w:val="2"/>
      <w:sz w:val="21"/>
    </w:rPr>
  </w:style>
  <w:style w:type="character" w:customStyle="1" w:styleId="39">
    <w:name w:val="正文文本 Char"/>
    <w:link w:val="14"/>
    <w:qFormat/>
    <w:uiPriority w:val="0"/>
    <w:rPr>
      <w:kern w:val="2"/>
      <w:sz w:val="24"/>
      <w:szCs w:val="24"/>
    </w:rPr>
  </w:style>
  <w:style w:type="character" w:customStyle="1" w:styleId="40">
    <w:name w:val="页脚 Char"/>
    <w:link w:val="22"/>
    <w:qFormat/>
    <w:uiPriority w:val="99"/>
    <w:rPr>
      <w:kern w:val="2"/>
      <w:sz w:val="18"/>
      <w:szCs w:val="18"/>
    </w:rPr>
  </w:style>
  <w:style w:type="character" w:customStyle="1" w:styleId="41">
    <w:name w:val="正文文本缩进 Char"/>
    <w:link w:val="15"/>
    <w:semiHidden/>
    <w:qFormat/>
    <w:uiPriority w:val="0"/>
    <w:rPr>
      <w:kern w:val="2"/>
      <w:sz w:val="24"/>
    </w:rPr>
  </w:style>
  <w:style w:type="character" w:customStyle="1" w:styleId="42">
    <w:name w:val="日期 Char"/>
    <w:link w:val="20"/>
    <w:semiHidden/>
    <w:qFormat/>
    <w:uiPriority w:val="0"/>
    <w:rPr>
      <w:b/>
      <w:kern w:val="2"/>
      <w:sz w:val="24"/>
    </w:rPr>
  </w:style>
  <w:style w:type="paragraph" w:customStyle="1" w:styleId="43">
    <w:name w:val="章"/>
    <w:basedOn w:val="1"/>
    <w:link w:val="71"/>
    <w:qFormat/>
    <w:uiPriority w:val="0"/>
    <w:pPr>
      <w:spacing w:beforeLines="100" w:afterLines="100" w:line="300" w:lineRule="auto"/>
      <w:jc w:val="center"/>
      <w:outlineLvl w:val="0"/>
    </w:pPr>
    <w:rPr>
      <w:b/>
      <w:bCs/>
      <w:sz w:val="28"/>
      <w:szCs w:val="28"/>
    </w:rPr>
  </w:style>
  <w:style w:type="paragraph" w:customStyle="1" w:styleId="44">
    <w:name w:val="节"/>
    <w:basedOn w:val="1"/>
    <w:qFormat/>
    <w:uiPriority w:val="0"/>
    <w:pPr>
      <w:spacing w:beforeLines="100" w:afterLines="100" w:line="300" w:lineRule="auto"/>
      <w:jc w:val="center"/>
      <w:outlineLvl w:val="1"/>
    </w:pPr>
    <w:rPr>
      <w:b/>
      <w:bCs/>
    </w:rPr>
  </w:style>
  <w:style w:type="paragraph" w:customStyle="1" w:styleId="45">
    <w:name w:val="分条"/>
    <w:basedOn w:val="1"/>
    <w:link w:val="46"/>
    <w:qFormat/>
    <w:uiPriority w:val="0"/>
    <w:pPr>
      <w:spacing w:line="360" w:lineRule="auto"/>
      <w:ind w:firstLine="200" w:firstLineChars="200"/>
    </w:pPr>
  </w:style>
  <w:style w:type="character" w:customStyle="1" w:styleId="46">
    <w:name w:val="分条 Char"/>
    <w:link w:val="45"/>
    <w:qFormat/>
    <w:uiPriority w:val="0"/>
    <w:rPr>
      <w:rFonts w:eastAsia="宋体"/>
      <w:kern w:val="2"/>
      <w:sz w:val="24"/>
      <w:szCs w:val="24"/>
      <w:lang w:val="en-US" w:eastAsia="zh-CN" w:bidi="ar-SA"/>
    </w:rPr>
  </w:style>
  <w:style w:type="paragraph" w:customStyle="1" w:styleId="47">
    <w:name w:val="Char1 Char Char Char"/>
    <w:basedOn w:val="1"/>
    <w:qFormat/>
    <w:uiPriority w:val="0"/>
    <w:pPr>
      <w:widowControl/>
      <w:spacing w:after="160" w:line="240" w:lineRule="exact"/>
      <w:ind w:firstLine="200" w:firstLineChars="200"/>
      <w:jc w:val="left"/>
    </w:pPr>
    <w:rPr>
      <w:sz w:val="21"/>
      <w:szCs w:val="20"/>
    </w:rPr>
  </w:style>
  <w:style w:type="paragraph" w:customStyle="1" w:styleId="48">
    <w:name w:val="注"/>
    <w:basedOn w:val="1"/>
    <w:link w:val="49"/>
    <w:qFormat/>
    <w:uiPriority w:val="0"/>
    <w:pPr>
      <w:ind w:left="788" w:leftChars="200" w:hanging="368" w:hangingChars="175"/>
    </w:pPr>
    <w:rPr>
      <w:sz w:val="21"/>
      <w:szCs w:val="20"/>
    </w:rPr>
  </w:style>
  <w:style w:type="character" w:customStyle="1" w:styleId="49">
    <w:name w:val="注 Char"/>
    <w:link w:val="48"/>
    <w:qFormat/>
    <w:uiPriority w:val="0"/>
    <w:rPr>
      <w:rFonts w:eastAsia="宋体"/>
      <w:kern w:val="2"/>
      <w:sz w:val="21"/>
      <w:lang w:val="en-US" w:eastAsia="zh-CN" w:bidi="ar-SA"/>
    </w:rPr>
  </w:style>
  <w:style w:type="paragraph" w:customStyle="1" w:styleId="50">
    <w:name w:val="正文3"/>
    <w:basedOn w:val="1"/>
    <w:qFormat/>
    <w:uiPriority w:val="0"/>
    <w:pPr>
      <w:spacing w:line="360" w:lineRule="auto"/>
      <w:ind w:firstLine="480" w:firstLineChars="200"/>
    </w:pPr>
    <w:rPr>
      <w:rFonts w:cs="宋体"/>
    </w:rPr>
  </w:style>
  <w:style w:type="character" w:customStyle="1" w:styleId="51">
    <w:name w:val="Body Text Char"/>
    <w:semiHidden/>
    <w:qFormat/>
    <w:locked/>
    <w:uiPriority w:val="0"/>
    <w:rPr>
      <w:rFonts w:ascii="Times New Roman" w:hAnsi="Times New Roman" w:eastAsia="宋体" w:cs="Times New Roman"/>
      <w:sz w:val="24"/>
      <w:szCs w:val="24"/>
    </w:rPr>
  </w:style>
  <w:style w:type="paragraph" w:customStyle="1" w:styleId="52">
    <w:name w:val="sm3"/>
    <w:basedOn w:val="1"/>
    <w:qFormat/>
    <w:uiPriority w:val="0"/>
    <w:pPr>
      <w:spacing w:line="360" w:lineRule="auto"/>
      <w:ind w:firstLine="480" w:firstLineChars="200"/>
    </w:pPr>
    <w:rPr>
      <w:rFonts w:eastAsia="仿宋_GB2312"/>
      <w:szCs w:val="21"/>
    </w:rPr>
  </w:style>
  <w:style w:type="paragraph" w:customStyle="1" w:styleId="53">
    <w:name w:val="样式1"/>
    <w:basedOn w:val="1"/>
    <w:qFormat/>
    <w:uiPriority w:val="0"/>
    <w:pPr>
      <w:spacing w:line="360" w:lineRule="auto"/>
      <w:ind w:firstLine="480" w:firstLineChars="200"/>
    </w:pPr>
  </w:style>
  <w:style w:type="paragraph" w:customStyle="1" w:styleId="54">
    <w:name w:val="公式"/>
    <w:basedOn w:val="1"/>
    <w:link w:val="56"/>
    <w:qFormat/>
    <w:uiPriority w:val="0"/>
    <w:pPr>
      <w:spacing w:line="360" w:lineRule="auto"/>
      <w:jc w:val="right"/>
    </w:pPr>
    <w:rPr>
      <w:szCs w:val="20"/>
    </w:rPr>
  </w:style>
  <w:style w:type="paragraph" w:customStyle="1" w:styleId="55">
    <w:name w:val="表头"/>
    <w:basedOn w:val="1"/>
    <w:link w:val="57"/>
    <w:qFormat/>
    <w:uiPriority w:val="0"/>
    <w:pPr>
      <w:spacing w:beforeLines="50" w:afterLines="50" w:line="300" w:lineRule="auto"/>
      <w:jc w:val="center"/>
    </w:pPr>
    <w:rPr>
      <w:b/>
      <w:sz w:val="21"/>
      <w:szCs w:val="20"/>
    </w:rPr>
  </w:style>
  <w:style w:type="character" w:customStyle="1" w:styleId="56">
    <w:name w:val="公式 Char"/>
    <w:link w:val="54"/>
    <w:qFormat/>
    <w:uiPriority w:val="0"/>
    <w:rPr>
      <w:rFonts w:eastAsia="宋体"/>
      <w:kern w:val="2"/>
      <w:sz w:val="24"/>
      <w:lang w:val="en-US" w:eastAsia="zh-CN" w:bidi="ar-SA"/>
    </w:rPr>
  </w:style>
  <w:style w:type="character" w:customStyle="1" w:styleId="57">
    <w:name w:val="表头 Char"/>
    <w:link w:val="55"/>
    <w:qFormat/>
    <w:uiPriority w:val="0"/>
    <w:rPr>
      <w:rFonts w:eastAsia="宋体"/>
      <w:b/>
      <w:kern w:val="2"/>
      <w:sz w:val="21"/>
      <w:lang w:val="en-US" w:eastAsia="zh-CN" w:bidi="ar-SA"/>
    </w:rPr>
  </w:style>
  <w:style w:type="paragraph" w:customStyle="1" w:styleId="58">
    <w:name w:val="Char Char Char Char Char Char Char"/>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59">
    <w:name w:val="条文说明"/>
    <w:basedOn w:val="45"/>
    <w:link w:val="60"/>
    <w:qFormat/>
    <w:uiPriority w:val="0"/>
    <w:pPr>
      <w:ind w:firstLine="480"/>
    </w:pPr>
    <w:rPr>
      <w:rFonts w:eastAsia="仿宋_GB2312"/>
    </w:rPr>
  </w:style>
  <w:style w:type="character" w:customStyle="1" w:styleId="60">
    <w:name w:val="条文说明 Char"/>
    <w:link w:val="59"/>
    <w:qFormat/>
    <w:uiPriority w:val="0"/>
    <w:rPr>
      <w:rFonts w:eastAsia="仿宋_GB2312"/>
      <w:kern w:val="2"/>
      <w:sz w:val="24"/>
      <w:szCs w:val="24"/>
      <w:lang w:val="en-US" w:eastAsia="zh-CN" w:bidi="ar-SA"/>
    </w:rPr>
  </w:style>
  <w:style w:type="paragraph" w:customStyle="1" w:styleId="61">
    <w:name w:val="说明"/>
    <w:basedOn w:val="1"/>
    <w:link w:val="62"/>
    <w:qFormat/>
    <w:uiPriority w:val="0"/>
    <w:pPr>
      <w:spacing w:line="400" w:lineRule="atLeast"/>
    </w:pPr>
    <w:rPr>
      <w:rFonts w:ascii="楷体_GB2312" w:eastAsia="楷体_GB2312"/>
    </w:rPr>
  </w:style>
  <w:style w:type="character" w:customStyle="1" w:styleId="62">
    <w:name w:val="说明 Char1"/>
    <w:link w:val="61"/>
    <w:qFormat/>
    <w:uiPriority w:val="0"/>
    <w:rPr>
      <w:rFonts w:ascii="楷体_GB2312" w:eastAsia="楷体_GB2312"/>
      <w:kern w:val="2"/>
      <w:sz w:val="24"/>
      <w:szCs w:val="24"/>
      <w:lang w:val="en-US" w:eastAsia="zh-CN" w:bidi="ar-SA"/>
    </w:rPr>
  </w:style>
  <w:style w:type="paragraph" w:customStyle="1" w:styleId="63">
    <w:name w:val="Default"/>
    <w:qFormat/>
    <w:uiPriority w:val="0"/>
    <w:pPr>
      <w:widowControl w:val="0"/>
      <w:autoSpaceDE w:val="0"/>
      <w:autoSpaceDN w:val="0"/>
      <w:adjustRightInd w:val="0"/>
    </w:pPr>
    <w:rPr>
      <w:rFonts w:ascii="BNLHDC+TimesNewRoman,Bold" w:hAnsi="Times New Roman" w:eastAsia="BNLHDC+TimesNewRoman,Bold" w:cs="BNLHDC+TimesNewRoman,Bold"/>
      <w:color w:val="000000"/>
      <w:sz w:val="24"/>
      <w:szCs w:val="24"/>
      <w:lang w:val="en-US" w:eastAsia="zh-CN" w:bidi="ar-SA"/>
    </w:rPr>
  </w:style>
  <w:style w:type="paragraph" w:customStyle="1" w:styleId="64">
    <w:name w:val="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5">
    <w:name w:val="表"/>
    <w:basedOn w:val="1"/>
    <w:qFormat/>
    <w:uiPriority w:val="0"/>
    <w:pPr>
      <w:spacing w:line="300" w:lineRule="auto"/>
      <w:jc w:val="center"/>
    </w:pPr>
    <w:rPr>
      <w:sz w:val="21"/>
      <w:szCs w:val="20"/>
    </w:rPr>
  </w:style>
  <w:style w:type="character" w:customStyle="1" w:styleId="66">
    <w:name w:val="三级标题标题无缩进 Char"/>
    <w:link w:val="67"/>
    <w:qFormat/>
    <w:uiPriority w:val="0"/>
    <w:rPr>
      <w:rFonts w:eastAsia="宋体"/>
      <w:kern w:val="2"/>
      <w:sz w:val="28"/>
      <w:szCs w:val="24"/>
      <w:lang w:val="en-US" w:eastAsia="zh-CN" w:bidi="ar-SA"/>
    </w:rPr>
  </w:style>
  <w:style w:type="paragraph" w:customStyle="1" w:styleId="67">
    <w:name w:val="三级标题标题无缩进"/>
    <w:basedOn w:val="1"/>
    <w:link w:val="66"/>
    <w:qFormat/>
    <w:uiPriority w:val="0"/>
    <w:pPr>
      <w:snapToGrid w:val="0"/>
      <w:spacing w:line="400" w:lineRule="exact"/>
    </w:pPr>
    <w:rPr>
      <w:sz w:val="28"/>
    </w:rPr>
  </w:style>
  <w:style w:type="paragraph" w:customStyle="1" w:styleId="68">
    <w:name w:val="修订1"/>
    <w:hidden/>
    <w:semiHidden/>
    <w:qFormat/>
    <w:uiPriority w:val="99"/>
    <w:rPr>
      <w:rFonts w:ascii="Times New Roman" w:hAnsi="Times New Roman" w:eastAsia="宋体" w:cs="Times New Roman"/>
      <w:kern w:val="2"/>
      <w:sz w:val="24"/>
      <w:szCs w:val="24"/>
      <w:lang w:val="en-US" w:eastAsia="zh-CN" w:bidi="ar-SA"/>
    </w:rPr>
  </w:style>
  <w:style w:type="paragraph" w:customStyle="1" w:styleId="69">
    <w:name w:val="默认段落字体 Para Char Char Char Char"/>
    <w:basedOn w:val="1"/>
    <w:qFormat/>
    <w:uiPriority w:val="0"/>
    <w:rPr>
      <w:sz w:val="21"/>
    </w:rPr>
  </w:style>
  <w:style w:type="paragraph" w:customStyle="1" w:styleId="70">
    <w:name w:val="标题3"/>
    <w:basedOn w:val="1"/>
    <w:qFormat/>
    <w:uiPriority w:val="0"/>
    <w:pPr>
      <w:adjustRightInd w:val="0"/>
      <w:spacing w:before="120" w:after="120"/>
      <w:jc w:val="center"/>
      <w:textAlignment w:val="baseline"/>
    </w:pPr>
    <w:rPr>
      <w:b/>
      <w:kern w:val="0"/>
      <w:sz w:val="18"/>
      <w:szCs w:val="20"/>
    </w:rPr>
  </w:style>
  <w:style w:type="character" w:customStyle="1" w:styleId="71">
    <w:name w:val="章 Char"/>
    <w:link w:val="43"/>
    <w:qFormat/>
    <w:uiPriority w:val="0"/>
    <w:rPr>
      <w:rFonts w:eastAsia="宋体"/>
      <w:b/>
      <w:bCs/>
      <w:kern w:val="2"/>
      <w:sz w:val="28"/>
      <w:szCs w:val="28"/>
      <w:lang w:val="en-US" w:eastAsia="zh-CN" w:bidi="ar-SA"/>
    </w:rPr>
  </w:style>
  <w:style w:type="character" w:customStyle="1" w:styleId="72">
    <w:name w:val="页眉 Char"/>
    <w:link w:val="23"/>
    <w:qFormat/>
    <w:uiPriority w:val="99"/>
    <w:rPr>
      <w:kern w:val="2"/>
      <w:sz w:val="18"/>
      <w:szCs w:val="18"/>
    </w:rPr>
  </w:style>
  <w:style w:type="character" w:customStyle="1" w:styleId="73">
    <w:name w:val="规范正文 Char"/>
    <w:link w:val="74"/>
    <w:qFormat/>
    <w:uiPriority w:val="0"/>
    <w:rPr>
      <w:kern w:val="2"/>
      <w:sz w:val="28"/>
      <w:szCs w:val="21"/>
    </w:rPr>
  </w:style>
  <w:style w:type="paragraph" w:customStyle="1" w:styleId="74">
    <w:name w:val="规范正文"/>
    <w:basedOn w:val="1"/>
    <w:link w:val="73"/>
    <w:qFormat/>
    <w:uiPriority w:val="0"/>
    <w:pPr>
      <w:spacing w:line="400" w:lineRule="exact"/>
      <w:ind w:firstLine="200" w:firstLineChars="200"/>
    </w:pPr>
    <w:rPr>
      <w:sz w:val="28"/>
      <w:szCs w:val="21"/>
    </w:rPr>
  </w:style>
  <w:style w:type="character" w:customStyle="1" w:styleId="75">
    <w:name w:val="批注文字 Char"/>
    <w:link w:val="13"/>
    <w:qFormat/>
    <w:uiPriority w:val="0"/>
    <w:rPr>
      <w:kern w:val="2"/>
      <w:sz w:val="24"/>
      <w:szCs w:val="24"/>
    </w:rPr>
  </w:style>
  <w:style w:type="paragraph" w:customStyle="1" w:styleId="76">
    <w:name w:val="Char Char Char Char Char Char Char3"/>
    <w:basedOn w:val="1"/>
    <w:qFormat/>
    <w:uiPriority w:val="0"/>
    <w:pPr>
      <w:widowControl/>
      <w:topLinePunct/>
      <w:adjustRightInd w:val="0"/>
      <w:spacing w:after="160" w:line="240" w:lineRule="exact"/>
      <w:jc w:val="left"/>
    </w:pPr>
    <w:rPr>
      <w:rFonts w:ascii="Arial" w:hAnsi="Arial" w:eastAsia="Times New Roman" w:cs="Verdana"/>
      <w:b/>
      <w:kern w:val="0"/>
      <w:lang w:eastAsia="en-US"/>
    </w:rPr>
  </w:style>
  <w:style w:type="paragraph" w:customStyle="1" w:styleId="77">
    <w:name w:val="正文表标题"/>
    <w:next w:val="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78">
    <w:name w:val="段 Char"/>
    <w:link w:val="79"/>
    <w:qFormat/>
    <w:uiPriority w:val="0"/>
    <w:rPr>
      <w:rFonts w:ascii="宋体"/>
      <w:sz w:val="21"/>
    </w:rPr>
  </w:style>
  <w:style w:type="paragraph" w:customStyle="1" w:styleId="79">
    <w:name w:val="段"/>
    <w:link w:val="7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0">
    <w:name w:val="正文图标题"/>
    <w:next w:val="79"/>
    <w:qFormat/>
    <w:uiPriority w:val="0"/>
    <w:pPr>
      <w:tabs>
        <w:tab w:val="left" w:pos="360"/>
        <w:tab w:val="left" w:pos="425"/>
      </w:tabs>
      <w:spacing w:beforeLines="50" w:afterLines="50"/>
      <w:ind w:left="425" w:hanging="425"/>
      <w:jc w:val="center"/>
    </w:pPr>
    <w:rPr>
      <w:rFonts w:ascii="黑体" w:hAnsi="Times New Roman" w:eastAsia="黑体" w:cs="Times New Roman"/>
      <w:sz w:val="21"/>
      <w:lang w:val="en-US" w:eastAsia="zh-CN" w:bidi="ar-SA"/>
    </w:rPr>
  </w:style>
  <w:style w:type="paragraph" w:styleId="81">
    <w:name w:val="List Paragraph"/>
    <w:basedOn w:val="1"/>
    <w:link w:val="88"/>
    <w:qFormat/>
    <w:uiPriority w:val="34"/>
    <w:pPr>
      <w:ind w:firstLine="420" w:firstLineChars="200"/>
    </w:pPr>
  </w:style>
  <w:style w:type="paragraph" w:customStyle="1" w:styleId="82">
    <w:name w:val="Char Char Char Char Char Char Char2"/>
    <w:basedOn w:val="1"/>
    <w:qFormat/>
    <w:uiPriority w:val="0"/>
    <w:pPr>
      <w:widowControl/>
      <w:topLinePunct/>
      <w:adjustRightInd w:val="0"/>
      <w:spacing w:after="160" w:line="240" w:lineRule="exact"/>
      <w:jc w:val="left"/>
    </w:pPr>
    <w:rPr>
      <w:rFonts w:ascii="Arial" w:hAnsi="Arial" w:eastAsia="Times New Roman" w:cs="Verdana"/>
      <w:b/>
      <w:kern w:val="0"/>
      <w:lang w:eastAsia="en-US"/>
    </w:rPr>
  </w:style>
  <w:style w:type="paragraph" w:customStyle="1" w:styleId="83">
    <w:name w:val="Char Char Char Char Char Char Char1"/>
    <w:basedOn w:val="1"/>
    <w:qFormat/>
    <w:uiPriority w:val="0"/>
    <w:pPr>
      <w:widowControl/>
      <w:topLinePunct/>
      <w:adjustRightInd w:val="0"/>
      <w:spacing w:after="160" w:line="240" w:lineRule="exact"/>
      <w:jc w:val="left"/>
    </w:pPr>
    <w:rPr>
      <w:rFonts w:ascii="Arial" w:hAnsi="Arial" w:eastAsia="Times New Roman" w:cs="Verdana"/>
      <w:b/>
      <w:kern w:val="0"/>
      <w:lang w:eastAsia="en-US"/>
    </w:rPr>
  </w:style>
  <w:style w:type="paragraph" w:customStyle="1" w:styleId="84">
    <w:name w:val="标准（正文）"/>
    <w:basedOn w:val="1"/>
    <w:qFormat/>
    <w:uiPriority w:val="0"/>
    <w:rPr>
      <w:rFonts w:ascii="宋体" w:hAnsi="宋体"/>
      <w:color w:val="000000"/>
      <w:kern w:val="0"/>
      <w:sz w:val="20"/>
    </w:rPr>
  </w:style>
  <w:style w:type="paragraph" w:customStyle="1" w:styleId="85">
    <w:name w:val="一级条标题"/>
    <w:next w:val="79"/>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86">
    <w:name w:val="二级条标题"/>
    <w:basedOn w:val="85"/>
    <w:next w:val="79"/>
    <w:qFormat/>
    <w:uiPriority w:val="0"/>
    <w:pPr>
      <w:numPr>
        <w:ilvl w:val="2"/>
      </w:numPr>
      <w:spacing w:before="50" w:after="50"/>
      <w:outlineLvl w:val="3"/>
    </w:pPr>
  </w:style>
  <w:style w:type="paragraph" w:customStyle="1" w:styleId="87">
    <w:name w:val="章标题"/>
    <w:next w:val="79"/>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character" w:customStyle="1" w:styleId="88">
    <w:name w:val="列出段落 Char"/>
    <w:link w:val="81"/>
    <w:qFormat/>
    <w:uiPriority w:val="34"/>
    <w:rPr>
      <w:kern w:val="2"/>
      <w:sz w:val="24"/>
      <w:szCs w:val="24"/>
    </w:rPr>
  </w:style>
  <w:style w:type="character" w:customStyle="1" w:styleId="89">
    <w:name w:val="标题 3 Char"/>
    <w:basedOn w:val="33"/>
    <w:link w:val="4"/>
    <w:qFormat/>
    <w:uiPriority w:val="9"/>
    <w:rPr>
      <w:b/>
      <w:bCs/>
      <w:kern w:val="2"/>
      <w:sz w:val="32"/>
      <w:szCs w:val="32"/>
    </w:rPr>
  </w:style>
  <w:style w:type="character" w:customStyle="1" w:styleId="90">
    <w:name w:val="标题 4 Char"/>
    <w:basedOn w:val="33"/>
    <w:link w:val="5"/>
    <w:semiHidden/>
    <w:qFormat/>
    <w:uiPriority w:val="9"/>
    <w:rPr>
      <w:rFonts w:asciiTheme="majorHAnsi" w:hAnsiTheme="majorHAnsi" w:eastAsiaTheme="majorEastAsia" w:cstheme="majorBidi"/>
      <w:b/>
      <w:bCs/>
      <w:kern w:val="2"/>
      <w:sz w:val="28"/>
      <w:szCs w:val="28"/>
    </w:rPr>
  </w:style>
  <w:style w:type="character" w:customStyle="1" w:styleId="91">
    <w:name w:val="标题 5 Char"/>
    <w:basedOn w:val="33"/>
    <w:link w:val="6"/>
    <w:semiHidden/>
    <w:qFormat/>
    <w:uiPriority w:val="9"/>
    <w:rPr>
      <w:b/>
      <w:bCs/>
      <w:kern w:val="2"/>
      <w:sz w:val="28"/>
      <w:szCs w:val="28"/>
    </w:rPr>
  </w:style>
  <w:style w:type="character" w:customStyle="1" w:styleId="92">
    <w:name w:val="标题 6 Char"/>
    <w:basedOn w:val="33"/>
    <w:link w:val="7"/>
    <w:semiHidden/>
    <w:qFormat/>
    <w:uiPriority w:val="9"/>
    <w:rPr>
      <w:rFonts w:asciiTheme="majorHAnsi" w:hAnsiTheme="majorHAnsi" w:eastAsiaTheme="majorEastAsia" w:cstheme="majorBidi"/>
      <w:b/>
      <w:bCs/>
      <w:kern w:val="2"/>
      <w:sz w:val="24"/>
      <w:szCs w:val="24"/>
    </w:rPr>
  </w:style>
  <w:style w:type="character" w:customStyle="1" w:styleId="93">
    <w:name w:val="标题 7 Char"/>
    <w:basedOn w:val="33"/>
    <w:link w:val="8"/>
    <w:semiHidden/>
    <w:qFormat/>
    <w:uiPriority w:val="9"/>
    <w:rPr>
      <w:b/>
      <w:bCs/>
      <w:kern w:val="2"/>
      <w:sz w:val="24"/>
      <w:szCs w:val="24"/>
    </w:rPr>
  </w:style>
  <w:style w:type="character" w:customStyle="1" w:styleId="94">
    <w:name w:val="标题 8 Char"/>
    <w:basedOn w:val="33"/>
    <w:link w:val="9"/>
    <w:semiHidden/>
    <w:qFormat/>
    <w:uiPriority w:val="9"/>
    <w:rPr>
      <w:rFonts w:asciiTheme="majorHAnsi" w:hAnsiTheme="majorHAnsi" w:eastAsiaTheme="majorEastAsia" w:cstheme="majorBidi"/>
      <w:kern w:val="2"/>
      <w:sz w:val="24"/>
      <w:szCs w:val="24"/>
    </w:rPr>
  </w:style>
  <w:style w:type="character" w:customStyle="1" w:styleId="95">
    <w:name w:val="标题 9 Char"/>
    <w:basedOn w:val="33"/>
    <w:link w:val="10"/>
    <w:semiHidden/>
    <w:qFormat/>
    <w:uiPriority w:val="9"/>
    <w:rPr>
      <w:rFonts w:asciiTheme="majorHAnsi" w:hAnsiTheme="majorHAnsi" w:eastAsiaTheme="majorEastAsia" w:cstheme="majorBidi"/>
      <w:kern w:val="2"/>
      <w:sz w:val="21"/>
      <w:szCs w:val="21"/>
    </w:rPr>
  </w:style>
  <w:style w:type="character" w:customStyle="1" w:styleId="96">
    <w:name w:val="未处理的提及1"/>
    <w:basedOn w:val="33"/>
    <w:semiHidden/>
    <w:unhideWhenUsed/>
    <w:qFormat/>
    <w:uiPriority w:val="99"/>
    <w:rPr>
      <w:color w:val="605E5C"/>
      <w:shd w:val="clear" w:color="auto" w:fill="E1DFDD"/>
    </w:rPr>
  </w:style>
  <w:style w:type="character" w:customStyle="1" w:styleId="97">
    <w:name w:val="标题 1 Char"/>
    <w:link w:val="2"/>
    <w:qFormat/>
    <w:uiPriority w:val="9"/>
    <w:rPr>
      <w:i/>
      <w:iCs/>
      <w:kern w:val="2"/>
      <w:sz w:val="24"/>
      <w:szCs w:val="24"/>
    </w:rPr>
  </w:style>
  <w:style w:type="character" w:customStyle="1" w:styleId="98">
    <w:name w:val="标题 2 Char"/>
    <w:link w:val="3"/>
    <w:qFormat/>
    <w:uiPriority w:val="9"/>
    <w:rPr>
      <w:i/>
      <w:iCs/>
      <w:kern w:val="2"/>
      <w:sz w:val="24"/>
      <w:szCs w:val="24"/>
    </w:rPr>
  </w:style>
  <w:style w:type="paragraph" w:customStyle="1" w:styleId="99">
    <w:name w:val="正文加编号"/>
    <w:basedOn w:val="1"/>
    <w:qFormat/>
    <w:uiPriority w:val="0"/>
    <w:pPr>
      <w:spacing w:line="540" w:lineRule="exact"/>
    </w:pPr>
  </w:style>
  <w:style w:type="paragraph" w:customStyle="1" w:styleId="100">
    <w:name w:val="TOC 标题1"/>
    <w:basedOn w:val="2"/>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b/>
      <w:bCs/>
      <w:i w:val="0"/>
      <w:iCs w:val="0"/>
      <w:color w:val="2E75B5"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B2FED-04CF-41C5-8018-6634FE475296}">
  <ds:schemaRefs/>
</ds:datastoreItem>
</file>

<file path=docProps/app.xml><?xml version="1.0" encoding="utf-8"?>
<Properties xmlns="http://schemas.openxmlformats.org/officeDocument/2006/extended-properties" xmlns:vt="http://schemas.openxmlformats.org/officeDocument/2006/docPropsVTypes">
  <Template>Normal</Template>
  <Company>w</Company>
  <Pages>13</Pages>
  <Words>1073</Words>
  <Characters>6119</Characters>
  <Lines>50</Lines>
  <Paragraphs>14</Paragraphs>
  <TotalTime>36</TotalTime>
  <ScaleCrop>false</ScaleCrop>
  <LinksUpToDate>false</LinksUpToDate>
  <CharactersWithSpaces>7178</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2021-03-22T01:02:00Z</dcterms:created>
  <dc:creator>a</dc:creator>
  <cp:lastModifiedBy>admin</cp:lastModifiedBy>
  <cp:lastPrinted>2020-08-26T07:41:00Z</cp:lastPrinted>
  <dcterms:modified xsi:type="dcterms:W3CDTF">2021-03-28T03:41:17Z</dcterms:modified>
  <dc:title>1 总   则</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2052-11.1.0.8765</vt:lpwstr>
  </property>
</Properties>
</file>